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79F6A">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eastAsia="ja-JP"/>
        </w:rPr>
      </w:pPr>
      <w:r>
        <w:rPr>
          <w:rFonts w:ascii="Arial" w:hAnsi="Arial" w:cs="Arial"/>
          <w:b/>
          <w:bCs/>
          <w:sz w:val="24"/>
          <w:szCs w:val="24"/>
          <w:lang w:eastAsia="ja-JP"/>
        </w:rPr>
        <w:t>3GPP TSG-RAN WG4 Meeting # 1</w:t>
      </w:r>
      <w:r>
        <w:rPr>
          <w:rFonts w:ascii="Arial" w:hAnsi="Arial" w:cs="Arial"/>
          <w:b/>
          <w:bCs/>
          <w:sz w:val="24"/>
          <w:szCs w:val="24"/>
          <w:lang w:val="en-US" w:eastAsia="ja-JP"/>
        </w:rPr>
        <w:t>12-</w:t>
      </w:r>
      <w:r>
        <w:rPr>
          <w:rFonts w:ascii="Arial" w:hAnsi="Arial" w:cs="Arial"/>
          <w:b/>
          <w:bCs/>
          <w:sz w:val="24"/>
          <w:szCs w:val="24"/>
          <w:lang w:eastAsia="ja-JP"/>
        </w:rPr>
        <w:t xml:space="preserve">bis </w:t>
      </w:r>
      <w:r>
        <w:tab/>
      </w:r>
      <w:r>
        <w:rPr>
          <w:rFonts w:ascii="Arial" w:hAnsi="Arial" w:cs="Arial"/>
          <w:b/>
          <w:bCs/>
          <w:sz w:val="24"/>
          <w:szCs w:val="24"/>
          <w:lang w:eastAsia="ja-JP"/>
        </w:rPr>
        <w:t xml:space="preserve">    R4-2</w:t>
      </w:r>
      <w:r>
        <w:rPr>
          <w:rFonts w:ascii="Arial" w:hAnsi="Arial" w:cs="Arial"/>
          <w:b/>
          <w:bCs/>
          <w:sz w:val="24"/>
          <w:szCs w:val="24"/>
          <w:lang w:val="en-US" w:eastAsia="ja-JP"/>
        </w:rPr>
        <w:t>4</w:t>
      </w:r>
      <w:r>
        <w:rPr>
          <w:rFonts w:ascii="Arial" w:hAnsi="Arial" w:cs="Arial"/>
          <w:b/>
          <w:bCs/>
          <w:sz w:val="24"/>
          <w:szCs w:val="24"/>
          <w:lang w:eastAsia="ja-JP"/>
        </w:rPr>
        <w:t>16323</w:t>
      </w:r>
    </w:p>
    <w:p w14:paraId="4F579F6B">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Hefei, CN,</w:t>
      </w:r>
      <w:r>
        <w:rPr>
          <w:rFonts w:ascii="Arial" w:hAnsi="Arial" w:cs="Arial"/>
          <w:b/>
          <w:bCs/>
          <w:sz w:val="24"/>
          <w:szCs w:val="24"/>
          <w:lang w:eastAsia="ja-JP"/>
        </w:rPr>
        <w:t xml:space="preserve"> </w:t>
      </w:r>
      <w:r>
        <w:rPr>
          <w:rFonts w:ascii="Arial" w:hAnsi="Arial" w:cs="Arial"/>
          <w:b/>
          <w:bCs/>
          <w:sz w:val="24"/>
          <w:szCs w:val="24"/>
          <w:lang w:val="en-US" w:eastAsia="ja-JP"/>
        </w:rPr>
        <w:t>14</w:t>
      </w:r>
      <w:r>
        <w:rPr>
          <w:rFonts w:ascii="Arial" w:hAnsi="Arial" w:cs="Arial"/>
          <w:b/>
          <w:bCs/>
          <w:sz w:val="24"/>
          <w:szCs w:val="24"/>
          <w:vertAlign w:val="superscript"/>
          <w:lang w:eastAsia="ja-JP"/>
        </w:rPr>
        <w:t xml:space="preserve"> </w:t>
      </w:r>
      <w:r>
        <w:rPr>
          <w:rFonts w:ascii="Arial" w:hAnsi="Arial" w:cs="Arial"/>
          <w:b/>
          <w:bCs/>
          <w:sz w:val="24"/>
          <w:szCs w:val="24"/>
          <w:lang w:eastAsia="ja-JP"/>
        </w:rPr>
        <w:t>–</w:t>
      </w:r>
      <w:r>
        <w:rPr>
          <w:rFonts w:ascii="Arial" w:hAnsi="Arial" w:cs="Arial"/>
          <w:b/>
          <w:bCs/>
          <w:sz w:val="24"/>
          <w:szCs w:val="24"/>
          <w:lang w:val="en-US" w:eastAsia="ja-JP"/>
        </w:rPr>
        <w:t>18</w:t>
      </w:r>
      <w:r>
        <w:rPr>
          <w:rFonts w:ascii="Arial" w:hAnsi="Arial" w:cs="Arial"/>
          <w:b/>
          <w:bCs/>
          <w:sz w:val="24"/>
          <w:szCs w:val="24"/>
          <w:lang w:eastAsia="ja-JP"/>
        </w:rPr>
        <w:t xml:space="preserve"> </w:t>
      </w:r>
      <w:r>
        <w:rPr>
          <w:rFonts w:ascii="Arial" w:hAnsi="Arial" w:cs="Arial"/>
          <w:b/>
          <w:bCs/>
          <w:sz w:val="24"/>
          <w:szCs w:val="24"/>
          <w:lang w:val="en-US" w:eastAsia="ja-JP"/>
        </w:rPr>
        <w:t xml:space="preserve">October </w:t>
      </w:r>
      <w:r>
        <w:rPr>
          <w:rFonts w:ascii="Arial" w:hAnsi="Arial" w:cs="Arial"/>
          <w:b/>
          <w:bCs/>
          <w:sz w:val="24"/>
          <w:szCs w:val="24"/>
          <w:lang w:eastAsia="ja-JP"/>
        </w:rPr>
        <w:t>202</w:t>
      </w:r>
      <w:r>
        <w:rPr>
          <w:rFonts w:ascii="Arial" w:hAnsi="Arial" w:cs="Arial"/>
          <w:b/>
          <w:bCs/>
          <w:sz w:val="24"/>
          <w:szCs w:val="24"/>
          <w:lang w:val="en-US" w:eastAsia="ja-JP"/>
        </w:rPr>
        <w:t>4</w:t>
      </w:r>
    </w:p>
    <w:p w14:paraId="4F579F6C">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eastAsia="ja-JP"/>
        </w:rPr>
      </w:pPr>
    </w:p>
    <w:p w14:paraId="4F579F6D">
      <w:pPr>
        <w:tabs>
          <w:tab w:val="left" w:pos="1985"/>
        </w:tabs>
        <w:spacing w:after="120"/>
        <w:rPr>
          <w:rFonts w:ascii="Arial" w:hAnsi="Arial" w:eastAsia="MS Mincho" w:cs="Arial"/>
          <w:b/>
          <w:bCs/>
          <w:sz w:val="24"/>
        </w:rPr>
      </w:pPr>
    </w:p>
    <w:p w14:paraId="4F579F6E">
      <w:pPr>
        <w:tabs>
          <w:tab w:val="left" w:pos="1985"/>
        </w:tabs>
        <w:spacing w:after="120"/>
        <w:rPr>
          <w:rFonts w:ascii="Arial" w:hAnsi="Arial" w:eastAsia="MS Mincho" w:cs="Arial"/>
          <w:b/>
          <w:bCs/>
          <w:sz w:val="24"/>
          <w:lang w:val="en-US"/>
        </w:rPr>
      </w:pPr>
      <w:r>
        <w:rPr>
          <w:rFonts w:ascii="Arial" w:hAnsi="Arial" w:eastAsia="MS Mincho" w:cs="Arial"/>
          <w:b/>
          <w:bCs/>
          <w:sz w:val="24"/>
        </w:rPr>
        <w:t>Agenda Item:</w:t>
      </w:r>
      <w:r>
        <w:rPr>
          <w:rFonts w:ascii="Arial" w:hAnsi="Arial" w:eastAsia="MS Mincho" w:cs="Arial"/>
          <w:b/>
          <w:bCs/>
          <w:sz w:val="24"/>
        </w:rPr>
        <w:tab/>
      </w:r>
      <w:r>
        <w:rPr>
          <w:rFonts w:ascii="Arial" w:hAnsi="Arial" w:eastAsia="MS Mincho" w:cs="Arial"/>
          <w:b/>
          <w:bCs/>
          <w:sz w:val="24"/>
          <w:lang w:val="en-US"/>
        </w:rPr>
        <w:t>4.2.2.4</w:t>
      </w:r>
    </w:p>
    <w:p w14:paraId="4F579F6F">
      <w:pPr>
        <w:tabs>
          <w:tab w:val="left" w:pos="1985"/>
        </w:tabs>
        <w:spacing w:after="120"/>
        <w:rPr>
          <w:rFonts w:ascii="Arial" w:hAnsi="Arial" w:eastAsia="MS Mincho" w:cs="Arial"/>
          <w:b/>
          <w:bCs/>
          <w:sz w:val="24"/>
        </w:rPr>
      </w:pPr>
      <w:r>
        <w:rPr>
          <w:rFonts w:ascii="Arial" w:hAnsi="Arial" w:eastAsia="MS Mincho" w:cs="Arial"/>
          <w:b/>
          <w:bCs/>
          <w:sz w:val="24"/>
        </w:rPr>
        <w:t xml:space="preserve">Source: </w:t>
      </w:r>
      <w:r>
        <w:rPr>
          <w:rFonts w:ascii="Arial" w:hAnsi="Arial" w:eastAsia="MS Mincho" w:cs="Arial"/>
          <w:b/>
          <w:bCs/>
          <w:sz w:val="24"/>
        </w:rPr>
        <w:tab/>
      </w:r>
      <w:r>
        <w:rPr>
          <w:rFonts w:ascii="Arial" w:hAnsi="Arial" w:eastAsia="MS Mincho" w:cs="Arial"/>
          <w:b/>
          <w:bCs/>
          <w:sz w:val="24"/>
        </w:rPr>
        <w:t>Ericsson</w:t>
      </w:r>
    </w:p>
    <w:p w14:paraId="4F579F70">
      <w:pPr>
        <w:tabs>
          <w:tab w:val="left" w:pos="1985"/>
        </w:tabs>
        <w:spacing w:after="120"/>
        <w:ind w:left="1980" w:hanging="1980"/>
        <w:rPr>
          <w:rFonts w:ascii="Arial" w:hAnsi="Arial" w:eastAsia="MS Mincho" w:cs="Arial"/>
          <w:b/>
          <w:bCs/>
          <w:sz w:val="24"/>
          <w:szCs w:val="24"/>
          <w:lang w:val="en-US"/>
        </w:rPr>
      </w:pPr>
      <w:r>
        <w:rPr>
          <w:rFonts w:ascii="Arial" w:hAnsi="Arial" w:eastAsia="MS Mincho" w:cs="Arial"/>
          <w:b/>
          <w:bCs/>
          <w:sz w:val="24"/>
          <w:szCs w:val="24"/>
        </w:rPr>
        <w:t>Title:</w:t>
      </w:r>
      <w:r>
        <w:tab/>
      </w:r>
      <w:r>
        <w:rPr>
          <w:rFonts w:ascii="Arial" w:hAnsi="Arial" w:eastAsia="MS Mincho" w:cs="Arial"/>
          <w:b/>
          <w:bCs/>
          <w:sz w:val="24"/>
          <w:szCs w:val="24"/>
          <w:lang w:val="en-US"/>
        </w:rPr>
        <w:t>On performance requirements for RedCap positioning</w:t>
      </w:r>
    </w:p>
    <w:p w14:paraId="4F579F71">
      <w:pPr>
        <w:tabs>
          <w:tab w:val="left" w:pos="1985"/>
        </w:tabs>
        <w:spacing w:after="120"/>
        <w:rPr>
          <w:rFonts w:ascii="Arial" w:hAnsi="Arial" w:eastAsia="MS Mincho" w:cs="Arial"/>
          <w:b/>
          <w:bCs/>
          <w:sz w:val="24"/>
        </w:rPr>
      </w:pPr>
      <w:r>
        <w:rPr>
          <w:rFonts w:ascii="Arial" w:hAnsi="Arial" w:eastAsia="MS Mincho" w:cs="Arial"/>
          <w:b/>
          <w:bCs/>
          <w:sz w:val="24"/>
        </w:rPr>
        <w:t>Document for:</w:t>
      </w:r>
      <w:r>
        <w:rPr>
          <w:rFonts w:ascii="Arial" w:hAnsi="Arial" w:eastAsia="MS Mincho" w:cs="Arial"/>
          <w:b/>
          <w:bCs/>
          <w:sz w:val="24"/>
        </w:rPr>
        <w:tab/>
      </w:r>
      <w:r>
        <w:rPr>
          <w:rFonts w:ascii="Arial" w:hAnsi="Arial" w:eastAsia="MS Mincho" w:cs="Arial"/>
          <w:b/>
          <w:bCs/>
          <w:sz w:val="24"/>
        </w:rPr>
        <w:t>Approval</w:t>
      </w:r>
    </w:p>
    <w:p w14:paraId="4F579F72">
      <w:pPr>
        <w:pStyle w:val="2"/>
        <w:tabs>
          <w:tab w:val="left" w:pos="432"/>
        </w:tabs>
        <w:ind w:left="431" w:right="72" w:hanging="431"/>
        <w:jc w:val="both"/>
        <w:rPr>
          <w:szCs w:val="36"/>
          <w:lang w:val="en-US"/>
        </w:rPr>
      </w:pPr>
      <w:r>
        <w:rPr>
          <w:szCs w:val="36"/>
          <w:lang w:val="en-US"/>
        </w:rPr>
        <w:t>Introduction</w:t>
      </w:r>
      <w:bookmarkStart w:id="0" w:name="OLE_LINK13"/>
      <w:bookmarkStart w:id="1" w:name="OLE_LINK14"/>
    </w:p>
    <w:p w14:paraId="4F579F73">
      <w:pPr>
        <w:pStyle w:val="172"/>
        <w:numPr>
          <w:ilvl w:val="0"/>
          <w:numId w:val="0"/>
        </w:numPr>
        <w:autoSpaceDN w:val="0"/>
        <w:spacing w:after="120" w:line="252" w:lineRule="auto"/>
        <w:rPr>
          <w:lang w:val="en-US" w:eastAsia="ja-JP"/>
        </w:rPr>
      </w:pPr>
      <w:r>
        <w:rPr>
          <w:lang w:val="en-US" w:eastAsia="ja-JP"/>
        </w:rPr>
        <w:t>In this contribution, issues identified FFS in RAN4#112 are discussed [1]. The discussions presented in this paper elaborate Ericssson’s view on the issues related to margin for accuracy requirements and test case configurations for RedCap positioning with FH.</w:t>
      </w:r>
    </w:p>
    <w:bookmarkEnd w:id="0"/>
    <w:bookmarkEnd w:id="1"/>
    <w:p w14:paraId="4F579F74">
      <w:pPr>
        <w:pStyle w:val="2"/>
        <w:rPr>
          <w:lang w:val="en-US" w:eastAsia="ko-KR"/>
        </w:rPr>
      </w:pPr>
      <w:r>
        <w:rPr>
          <w:lang w:val="en-US"/>
        </w:rPr>
        <w:t>Discussions</w:t>
      </w:r>
    </w:p>
    <w:p w14:paraId="4F579F75">
      <w:pPr>
        <w:rPr>
          <w:lang w:val="en-US" w:eastAsia="ko-KR"/>
        </w:rPr>
      </w:pPr>
      <w:r>
        <w:rPr>
          <w:lang w:val="en-US" w:eastAsia="ko-KR"/>
        </w:rPr>
        <w:t>In the last meeting, group delay calibration margin for RedCap positioning was discussed and the following were agreed, where group delay maring calibration margin values for FH case is FFS.</w:t>
      </w:r>
    </w:p>
    <w:p w14:paraId="4F579F76">
      <w:pPr>
        <w:pStyle w:val="4"/>
        <w:spacing w:before="240" w:after="120"/>
        <w:ind w:left="720" w:hanging="720"/>
        <w:rPr>
          <w:rFonts w:ascii="Times New Roman Bold Italic" w:hAnsi="Times New Roman Bold Italic" w:cs="Times New Roman Bold Italic"/>
          <w:b/>
          <w:i/>
          <w:iCs/>
          <w:sz w:val="20"/>
          <w:u w:val="single"/>
          <w:lang w:val="en-US" w:eastAsia="zh-CN"/>
        </w:rPr>
      </w:pPr>
      <w:r>
        <w:rPr>
          <w:rFonts w:ascii="Times New Roman Bold Italic" w:hAnsi="Times New Roman Bold Italic" w:cs="Times New Roman Bold Italic"/>
          <w:b/>
          <w:i/>
          <w:iCs/>
          <w:sz w:val="20"/>
          <w:u w:val="single"/>
          <w:lang w:val="en-US" w:eastAsia="ko-KR"/>
        </w:rPr>
        <w:t>Group delay calibration margin for RedCap positioning</w:t>
      </w:r>
    </w:p>
    <w:p w14:paraId="4F579F77">
      <w:pPr>
        <w:spacing w:after="120"/>
        <w:rPr>
          <w:rFonts w:ascii="Times New Roman Bold Italic" w:hAnsi="Times New Roman Bold Italic" w:cs="Times New Roman Bold Italic"/>
          <w:b/>
          <w:bCs/>
          <w:i/>
          <w:iCs/>
          <w:szCs w:val="24"/>
          <w:lang w:eastAsia="zh-CN"/>
        </w:rPr>
      </w:pPr>
      <w:r>
        <w:rPr>
          <w:rFonts w:ascii="Times New Roman Bold Italic" w:hAnsi="Times New Roman Bold Italic" w:cs="Times New Roman Bold Italic"/>
          <w:b/>
          <w:bCs/>
          <w:i/>
          <w:iCs/>
          <w:szCs w:val="24"/>
          <w:lang w:eastAsia="zh-CN"/>
        </w:rPr>
        <w:t>Agreement:</w:t>
      </w:r>
    </w:p>
    <w:p w14:paraId="4F579F78">
      <w:pPr>
        <w:pStyle w:val="172"/>
        <w:numPr>
          <w:ilvl w:val="0"/>
          <w:numId w:val="12"/>
        </w:numPr>
        <w:spacing w:after="120"/>
        <w:rPr>
          <w:rFonts w:ascii="Times New Roman Bold Italic" w:hAnsi="Times New Roman Bold Italic" w:cs="Times New Roman Bold Italic"/>
          <w:i/>
          <w:iCs/>
          <w:lang w:eastAsia="zh-CN"/>
        </w:rPr>
      </w:pPr>
      <w:r>
        <w:rPr>
          <w:rFonts w:ascii="Times New Roman Bold Italic" w:hAnsi="Times New Roman Bold Italic" w:cs="Times New Roman Bold Italic"/>
          <w:i/>
          <w:iCs/>
          <w:lang w:eastAsia="zh-CN"/>
        </w:rPr>
        <w:t>RAN4 to use the following assumptions for group delay calibration margin for RedCap</w:t>
      </w:r>
    </w:p>
    <w:p w14:paraId="4F579F79">
      <w:pPr>
        <w:pStyle w:val="172"/>
        <w:numPr>
          <w:ilvl w:val="1"/>
          <w:numId w:val="12"/>
        </w:numPr>
        <w:spacing w:after="120"/>
        <w:rPr>
          <w:rFonts w:ascii="Times New Roman Bold Italic" w:hAnsi="Times New Roman Bold Italic" w:cs="Times New Roman Bold Italic"/>
          <w:i/>
          <w:iCs/>
          <w:lang w:eastAsia="zh-CN"/>
        </w:rPr>
      </w:pPr>
      <w:r>
        <w:rPr>
          <w:rFonts w:ascii="Times New Roman Bold Italic" w:hAnsi="Times New Roman Bold Italic" w:cs="Times New Roman Bold Italic"/>
          <w:i/>
          <w:iCs/>
          <w:lang w:eastAsia="zh-CN"/>
        </w:rPr>
        <w:t>Non-FH: existing values for non-RedCap for the applicable BW</w:t>
      </w:r>
      <w:r>
        <w:rPr>
          <w:rFonts w:ascii="Times New Roman Bold Italic" w:hAnsi="Times New Roman Bold Italic" w:cs="Times New Roman Bold Italic"/>
          <w:i/>
          <w:iCs/>
          <w:lang w:val="en-US" w:eastAsia="zh-CN"/>
        </w:rPr>
        <w:t>.</w:t>
      </w:r>
    </w:p>
    <w:p w14:paraId="4F579F7A">
      <w:pPr>
        <w:pStyle w:val="172"/>
        <w:numPr>
          <w:ilvl w:val="1"/>
          <w:numId w:val="12"/>
        </w:numPr>
        <w:spacing w:after="120"/>
        <w:rPr>
          <w:rFonts w:ascii="Times New Roman Bold Italic" w:hAnsi="Times New Roman Bold Italic" w:cs="Times New Roman Bold Italic"/>
          <w:i/>
          <w:iCs/>
          <w:lang w:eastAsia="zh-CN"/>
        </w:rPr>
      </w:pPr>
      <w:r>
        <w:rPr>
          <w:rFonts w:ascii="Times New Roman Bold Italic" w:hAnsi="Times New Roman Bold Italic" w:cs="Times New Roman Bold Italic"/>
          <w:i/>
          <w:iCs/>
          <w:lang w:eastAsia="zh-CN"/>
        </w:rPr>
        <w:t>FH: existing values for non-RedCap for per-hop BW [FFS: plus an extra margin (value TBD)]</w:t>
      </w:r>
      <w:r>
        <w:rPr>
          <w:rFonts w:ascii="Times New Roman Bold Italic" w:hAnsi="Times New Roman Bold Italic" w:cs="Times New Roman Bold Italic"/>
          <w:i/>
          <w:iCs/>
          <w:lang w:val="en-US" w:eastAsia="zh-CN"/>
        </w:rPr>
        <w:t>.</w:t>
      </w:r>
    </w:p>
    <w:p w14:paraId="4F579F7B">
      <w:pPr>
        <w:pStyle w:val="172"/>
        <w:numPr>
          <w:ilvl w:val="0"/>
          <w:numId w:val="0"/>
        </w:numPr>
        <w:spacing w:after="120"/>
        <w:rPr>
          <w:color w:val="0070C0"/>
          <w:highlight w:val="green"/>
          <w:lang w:val="en-US" w:eastAsia="zh-CN"/>
        </w:rPr>
      </w:pPr>
    </w:p>
    <w:p w14:paraId="4F579F7C">
      <w:pPr>
        <w:rPr>
          <w:lang w:val="en-US" w:eastAsia="zh-CN"/>
        </w:rPr>
      </w:pPr>
      <w:r>
        <w:rPr>
          <w:lang w:val="en-US" w:eastAsia="zh-CN"/>
        </w:rPr>
        <w:t xml:space="preserve">When a UE is configured to perform positioning measurement by FH, UE performs multiple hops where in each hop UE receives a part of wide PRS resources transmitted by the TRP on the PFL UE is performing measurement on. An elaboration of this procedure is done in </w:t>
      </w:r>
      <w:r>
        <w:rPr>
          <w:lang w:val="sv-SE" w:eastAsia="zh-CN"/>
        </w:rPr>
        <w:fldChar w:fldCharType="begin"/>
      </w:r>
      <w:r>
        <w:rPr>
          <w:lang w:val="en-US" w:eastAsia="zh-CN"/>
        </w:rPr>
        <w:instrText xml:space="preserve"> REF _Ref1785396194 \h </w:instrText>
      </w:r>
      <w:r>
        <w:rPr>
          <w:lang w:val="sv-SE" w:eastAsia="zh-CN"/>
        </w:rPr>
        <w:fldChar w:fldCharType="separate"/>
      </w:r>
      <w:r>
        <w:t>Figure 1</w:t>
      </w:r>
      <w:r>
        <w:rPr>
          <w:lang w:val="sv-SE" w:eastAsia="zh-CN"/>
        </w:rPr>
        <w:fldChar w:fldCharType="end"/>
      </w:r>
      <w:r>
        <w:rPr>
          <w:lang w:val="en-US" w:eastAsia="zh-CN"/>
        </w:rPr>
        <w:t xml:space="preserve">. The measurement reported by the UE is based on the total bandwidth of the resources after aggregating the PRS resources over all hops. The impact of group delay on the measurement accuracy should therefore be defined corresponding to the bandwidth of the PRS resources. </w:t>
      </w:r>
    </w:p>
    <w:p w14:paraId="4F579F7D">
      <w:pPr>
        <w:rPr>
          <w:lang w:val="en-US" w:eastAsia="zh-CN"/>
        </w:rPr>
      </w:pPr>
      <w:r>
        <w:rPr>
          <w:rFonts w:ascii="Times New Roman Bold" w:hAnsi="Times New Roman Bold" w:cs="Times New Roman Bold"/>
          <w:b/>
          <w:bCs/>
          <w:u w:val="single"/>
          <w:lang w:val="en-US" w:eastAsia="zh-CN"/>
        </w:rPr>
        <w:t>Observation 1</w:t>
      </w:r>
      <w:r>
        <w:rPr>
          <w:lang w:val="en-US" w:eastAsia="zh-CN"/>
        </w:rPr>
        <w:t>:   The measurement reported by the UE is based on the total bandwidth of the resources after aggregating the PRS resources over all hops.</w:t>
      </w:r>
    </w:p>
    <w:p w14:paraId="4F579F7E">
      <w:pPr>
        <w:rPr>
          <w:lang w:val="en-US" w:eastAsia="zh-CN"/>
        </w:rPr>
      </w:pPr>
      <w:r>
        <w:rPr>
          <w:rFonts w:ascii="Times New Roman Bold" w:hAnsi="Times New Roman Bold" w:cs="Times New Roman Bold"/>
          <w:b/>
          <w:bCs/>
          <w:u w:val="single"/>
          <w:lang w:val="en-US" w:eastAsia="zh-CN"/>
        </w:rPr>
        <w:t>Proposal 1</w:t>
      </w:r>
      <w:r>
        <w:rPr>
          <w:lang w:val="en-US" w:eastAsia="zh-CN"/>
        </w:rPr>
        <w:t xml:space="preserve">: Group delay margin for positioning measurement by FH is defined for the total bandwidth of the PRS resources after all hops. </w:t>
      </w:r>
    </w:p>
    <w:p w14:paraId="4F579F7F">
      <w:pPr>
        <w:numPr>
          <w:ilvl w:val="0"/>
          <w:numId w:val="13"/>
        </w:numPr>
        <w:rPr>
          <w:lang w:val="en-US" w:eastAsia="zh-CN"/>
        </w:rPr>
      </w:pPr>
      <w:r>
        <w:rPr>
          <w:lang w:val="en-US" w:eastAsia="zh-CN"/>
        </w:rPr>
        <w:t>Values for non-RedCap UE are reused to define the group delay margin for RedCap UE where the group delay margin corresponding to a PRS BW for non-RedCap UE is applied to positioning measurement performed by RedCap UE with FH provided the BW of PRS resources for non-RedCap UE is equal to the BW of PRS resources after all hops for RedCap UE.</w:t>
      </w:r>
    </w:p>
    <w:p w14:paraId="4F579F80">
      <w:pPr>
        <w:rPr>
          <w:lang w:val="en-US" w:eastAsia="zh-CN"/>
        </w:rPr>
      </w:pPr>
    </w:p>
    <w:p w14:paraId="4F579F81">
      <w:pPr>
        <w:jc w:val="center"/>
      </w:pPr>
      <w:r>
        <w:drawing>
          <wp:inline distT="0" distB="0" distL="114300" distR="114300">
            <wp:extent cx="2886075" cy="2600325"/>
            <wp:effectExtent l="0" t="0" r="9525" b="158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8"/>
                    <a:stretch>
                      <a:fillRect/>
                    </a:stretch>
                  </pic:blipFill>
                  <pic:spPr>
                    <a:xfrm>
                      <a:off x="0" y="0"/>
                      <a:ext cx="2886075" cy="2600325"/>
                    </a:xfrm>
                    <a:prstGeom prst="rect">
                      <a:avLst/>
                    </a:prstGeom>
                    <a:noFill/>
                    <a:ln>
                      <a:noFill/>
                    </a:ln>
                  </pic:spPr>
                </pic:pic>
              </a:graphicData>
            </a:graphic>
          </wp:inline>
        </w:drawing>
      </w:r>
    </w:p>
    <w:p w14:paraId="4F579F82">
      <w:pPr>
        <w:pStyle w:val="20"/>
        <w:jc w:val="center"/>
        <w:rPr>
          <w:lang w:val="en-US"/>
        </w:rPr>
      </w:pPr>
      <w:bookmarkStart w:id="2" w:name="_Ref1785396194"/>
      <w:r>
        <w:t xml:space="preserve">Figure </w:t>
      </w:r>
      <w:r>
        <w:fldChar w:fldCharType="begin"/>
      </w:r>
      <w:r>
        <w:instrText xml:space="preserve"> SEQ Figure \* ARABIC </w:instrText>
      </w:r>
      <w:r>
        <w:fldChar w:fldCharType="separate"/>
      </w:r>
      <w:r>
        <w:t>1</w:t>
      </w:r>
      <w:r>
        <w:fldChar w:fldCharType="end"/>
      </w:r>
      <w:bookmarkEnd w:id="2"/>
      <w:r>
        <w:rPr>
          <w:lang w:val="en-US"/>
        </w:rPr>
        <w:t>.  Frequency hopping for PRS measurement.</w:t>
      </w:r>
    </w:p>
    <w:p w14:paraId="4F579F83">
      <w:pPr>
        <w:rPr>
          <w:lang w:val="en-US" w:eastAsia="zh-CN"/>
        </w:rPr>
      </w:pPr>
    </w:p>
    <w:p w14:paraId="4F579F84">
      <w:pPr>
        <w:rPr>
          <w:lang w:val="en-US" w:eastAsia="zh-CN"/>
        </w:rPr>
      </w:pPr>
      <w:r>
        <w:rPr>
          <w:lang w:val="en-US" w:eastAsia="zh-CN"/>
        </w:rPr>
        <w:t xml:space="preserve">Another aspect that concerns the margin value for accuracy requirement for FH case is related to the separation of the PRS resources and its impact on the accuracy of the positioning measurement by FH. When the UE is configured to perform RSTD measurement by aggregating PRS resources received over multiple hops, the FH procedure for PRS reception is performed by the UE for both reference TRP and target TRP. The measurements performed by RedCap UE for reference and target TRPs may or may not be based on the PRS resources on same PFL. Even when the PRS resources from reference and target TRPs are on the same PFL, the time separation between them may induce an error due to the frequency drift between the reception of resources that are far apart from each other. Scenario like this has been adressed in RAN4 spec by adding the frequency drift margins to the RSTD measurements performed by the UE when the PRS resources for reference and target TRPs are from same PFL and different PFLs. </w:t>
      </w:r>
      <w:r>
        <w:rPr>
          <w:lang w:val="en-US" w:eastAsia="zh-CN"/>
        </w:rPr>
        <w:br w:type="textWrapping"/>
      </w:r>
    </w:p>
    <w:p w14:paraId="4F579F85">
      <w:pPr>
        <w:rPr>
          <w:lang w:val="en-US" w:eastAsia="zh-CN"/>
        </w:rPr>
      </w:pPr>
      <w:r>
        <w:rPr>
          <w:rFonts w:ascii="Times New Roman Bold" w:hAnsi="Times New Roman Bold" w:cs="Times New Roman Bold"/>
          <w:b/>
          <w:bCs/>
          <w:u w:val="single"/>
          <w:lang w:val="en-US" w:eastAsia="zh-CN"/>
        </w:rPr>
        <w:t>Proposal 2</w:t>
      </w:r>
      <w:r>
        <w:rPr>
          <w:lang w:val="en-US" w:eastAsia="zh-CN"/>
        </w:rPr>
        <w:t>: Reuse frequency drift margin values, Y values in existing specification, for single PFL and multiple PFLs defined for non-RedCap UE to specify impact of frequency drift margin value on RSTD measurement performed by RedCap UE with FH on single PFL and multiple PFLs.</w:t>
      </w:r>
      <w:r>
        <w:rPr>
          <w:lang w:val="en-US" w:eastAsia="zh-CN"/>
        </w:rPr>
        <w:br w:type="textWrapping"/>
      </w:r>
    </w:p>
    <w:p w14:paraId="4F579F86">
      <w:pPr>
        <w:rPr>
          <w:lang w:val="en-US" w:eastAsia="zh-CN"/>
        </w:rPr>
      </w:pPr>
      <w:r>
        <w:rPr>
          <w:lang w:val="en-US" w:eastAsia="zh-CN"/>
        </w:rPr>
        <w:t>Another issue that was discussed but was not concluded in the last meeting is related to the test setup for FH case. In particular the issue is related to the UE BW and cell BW configuration for the test. The agreement from the last meeting is copied below for reference.</w:t>
      </w:r>
    </w:p>
    <w:p w14:paraId="4F579F87">
      <w:pPr>
        <w:pStyle w:val="4"/>
        <w:spacing w:before="240" w:after="120"/>
        <w:ind w:left="720" w:hanging="720"/>
        <w:rPr>
          <w:rFonts w:ascii="Times New Roman" w:hAnsi="Times New Roman"/>
          <w:b/>
          <w:sz w:val="20"/>
          <w:u w:val="single"/>
          <w:lang w:val="en-US" w:eastAsia="ko-KR"/>
        </w:rPr>
      </w:pPr>
      <w:r>
        <w:rPr>
          <w:rFonts w:ascii="Times New Roman" w:hAnsi="Times New Roman"/>
          <w:b/>
          <w:sz w:val="20"/>
          <w:u w:val="single"/>
          <w:lang w:val="en-US" w:eastAsia="ko-KR"/>
        </w:rPr>
        <w:t>PRS RMC for RedCap positioning TCs</w:t>
      </w:r>
    </w:p>
    <w:p w14:paraId="4F579F88">
      <w:pPr>
        <w:spacing w:after="120"/>
        <w:rPr>
          <w:rFonts w:ascii="Times New Roman Bold Italic" w:hAnsi="Times New Roman Bold Italic" w:cs="Times New Roman Bold Italic"/>
          <w:b/>
          <w:bCs/>
          <w:i/>
          <w:iCs/>
          <w:szCs w:val="24"/>
          <w:lang w:eastAsia="zh-CN"/>
        </w:rPr>
      </w:pPr>
      <w:r>
        <w:rPr>
          <w:rFonts w:ascii="Times New Roman Bold Italic" w:hAnsi="Times New Roman Bold Italic" w:cs="Times New Roman Bold Italic"/>
          <w:b/>
          <w:bCs/>
          <w:i/>
          <w:iCs/>
          <w:szCs w:val="24"/>
          <w:lang w:eastAsia="zh-CN"/>
        </w:rPr>
        <w:t>Agreement:</w:t>
      </w:r>
    </w:p>
    <w:p w14:paraId="4F579F89">
      <w:pPr>
        <w:pStyle w:val="172"/>
        <w:numPr>
          <w:ilvl w:val="0"/>
          <w:numId w:val="12"/>
        </w:numPr>
        <w:spacing w:after="120"/>
        <w:rPr>
          <w:rFonts w:ascii="Times New Roman Italic" w:hAnsi="Times New Roman Italic" w:cs="Times New Roman Italic"/>
          <w:i/>
          <w:iCs/>
          <w:lang w:eastAsia="zh-CN"/>
        </w:rPr>
      </w:pPr>
      <w:r>
        <w:rPr>
          <w:rFonts w:ascii="Times New Roman Italic" w:hAnsi="Times New Roman Italic" w:cs="Times New Roman Italic"/>
          <w:i/>
          <w:iCs/>
          <w:lang w:eastAsia="zh-CN"/>
        </w:rPr>
        <w:t>[For PRS BW for FH TCs, consider the BW in test configuration as UE BW and allow cell BW to be larger</w:t>
      </w:r>
      <w:r>
        <w:rPr>
          <w:rFonts w:ascii="Times New Roman Italic" w:hAnsi="Times New Roman Italic" w:cs="Times New Roman Italic"/>
          <w:i/>
          <w:iCs/>
          <w:lang w:val="en-US" w:eastAsia="zh-CN"/>
        </w:rPr>
        <w:t>.] – double check with TE vendors</w:t>
      </w:r>
    </w:p>
    <w:p w14:paraId="4F579F8A">
      <w:pPr>
        <w:pStyle w:val="172"/>
        <w:numPr>
          <w:ilvl w:val="0"/>
          <w:numId w:val="12"/>
        </w:numPr>
        <w:spacing w:after="120"/>
        <w:rPr>
          <w:rFonts w:ascii="Times New Roman Italic" w:hAnsi="Times New Roman Italic" w:cs="Times New Roman Italic"/>
          <w:i/>
          <w:iCs/>
          <w:lang w:eastAsia="zh-CN"/>
        </w:rPr>
      </w:pPr>
      <w:r>
        <w:rPr>
          <w:rFonts w:ascii="Times New Roman Italic" w:hAnsi="Times New Roman Italic" w:cs="Times New Roman Italic"/>
          <w:i/>
          <w:iCs/>
          <w:lang w:eastAsia="zh-CN"/>
        </w:rPr>
        <w:t>For FH TCs, introduce a new PRS RMC with large BW and repetitions</w:t>
      </w:r>
      <w:r>
        <w:rPr>
          <w:rFonts w:ascii="Times New Roman Italic" w:hAnsi="Times New Roman Italic" w:cs="Times New Roman Italic"/>
          <w:i/>
          <w:iCs/>
          <w:lang w:val="en-US" w:eastAsia="zh-CN"/>
        </w:rPr>
        <w:t>.</w:t>
      </w:r>
    </w:p>
    <w:p w14:paraId="4F579F8B">
      <w:pPr>
        <w:pStyle w:val="172"/>
        <w:numPr>
          <w:ilvl w:val="1"/>
          <w:numId w:val="12"/>
        </w:numPr>
        <w:spacing w:after="120"/>
        <w:rPr>
          <w:rFonts w:ascii="Times New Roman Italic" w:hAnsi="Times New Roman Italic" w:cs="Times New Roman Italic"/>
          <w:i/>
          <w:iCs/>
          <w:lang w:eastAsia="zh-CN"/>
        </w:rPr>
      </w:pPr>
      <w:r>
        <w:rPr>
          <w:rFonts w:ascii="Times New Roman Italic" w:hAnsi="Times New Roman Italic" w:cs="Times New Roman Italic"/>
          <w:i/>
          <w:iCs/>
          <w:lang w:val="en-US" w:eastAsia="zh-CN"/>
        </w:rPr>
        <w:t>A CR revision is needed to include the new PRS RMC for 15 kHz (FR1) and 120 kHz (FR2) – Qualcomm to revise a submitted CR</w:t>
      </w:r>
    </w:p>
    <w:p w14:paraId="4F579F8C">
      <w:pPr>
        <w:spacing w:after="120"/>
        <w:rPr>
          <w:rFonts w:ascii="Times New Roman Bold Italic" w:hAnsi="Times New Roman Bold Italic" w:cs="Times New Roman Bold Italic"/>
          <w:b/>
          <w:bCs/>
          <w:i/>
          <w:iCs/>
          <w:lang w:val="en-US" w:eastAsia="zh-CN"/>
        </w:rPr>
      </w:pPr>
      <w:r>
        <w:rPr>
          <w:rFonts w:ascii="Times New Roman Bold Italic" w:hAnsi="Times New Roman Bold Italic" w:cs="Times New Roman Bold Italic"/>
          <w:b/>
          <w:bCs/>
          <w:i/>
          <w:iCs/>
          <w:lang w:val="en-US" w:eastAsia="zh-CN"/>
        </w:rPr>
        <w:t>Discussion in AH2:</w:t>
      </w:r>
    </w:p>
    <w:p w14:paraId="4F579F8D">
      <w:pPr>
        <w:pStyle w:val="172"/>
        <w:numPr>
          <w:ilvl w:val="0"/>
          <w:numId w:val="12"/>
        </w:numPr>
        <w:spacing w:after="120"/>
        <w:rPr>
          <w:rFonts w:ascii="Times New Roman Italic" w:hAnsi="Times New Roman Italic" w:cs="Times New Roman Italic"/>
          <w:i/>
          <w:iCs/>
          <w:lang w:eastAsia="zh-CN"/>
        </w:rPr>
      </w:pPr>
      <w:r>
        <w:rPr>
          <w:rFonts w:ascii="Times New Roman Italic" w:hAnsi="Times New Roman Italic" w:cs="Times New Roman Italic"/>
          <w:i/>
          <w:iCs/>
          <w:lang w:eastAsia="zh-CN"/>
        </w:rPr>
        <w:t>TE(R&amp;S) input on the earlier tentative agreement from AH1 [For PRS BW for FH TCs, consider the BW in test configuration as UE BW and allow cell BW to be larger</w:t>
      </w:r>
      <w:r>
        <w:rPr>
          <w:rFonts w:ascii="Times New Roman Italic" w:hAnsi="Times New Roman Italic" w:cs="Times New Roman Italic"/>
          <w:i/>
          <w:iCs/>
          <w:lang w:val="en-US" w:eastAsia="zh-CN"/>
        </w:rPr>
        <w:t>.]:</w:t>
      </w:r>
    </w:p>
    <w:p w14:paraId="4F579F8E">
      <w:pPr>
        <w:pStyle w:val="172"/>
        <w:numPr>
          <w:ilvl w:val="1"/>
          <w:numId w:val="12"/>
        </w:numPr>
        <w:spacing w:after="120"/>
        <w:rPr>
          <w:rFonts w:ascii="Times New Roman Italic" w:hAnsi="Times New Roman Italic" w:cs="Times New Roman Italic"/>
          <w:i/>
          <w:iCs/>
          <w:lang w:eastAsia="zh-CN"/>
        </w:rPr>
      </w:pPr>
      <w:r>
        <w:rPr>
          <w:rFonts w:ascii="Times New Roman Italic" w:hAnsi="Times New Roman Italic" w:cs="Times New Roman Italic"/>
          <w:i/>
          <w:iCs/>
          <w:lang w:val="en-US" w:eastAsia="zh-CN"/>
        </w:rPr>
        <w:t>Different BWs for cell and UE have never been used</w:t>
      </w:r>
    </w:p>
    <w:p w14:paraId="4F579F8F">
      <w:pPr>
        <w:pStyle w:val="172"/>
        <w:numPr>
          <w:ilvl w:val="1"/>
          <w:numId w:val="12"/>
        </w:numPr>
        <w:spacing w:after="120"/>
        <w:rPr>
          <w:rFonts w:ascii="Times New Roman Italic" w:hAnsi="Times New Roman Italic" w:cs="Times New Roman Italic"/>
          <w:i/>
          <w:iCs/>
          <w:lang w:eastAsia="zh-CN"/>
        </w:rPr>
      </w:pPr>
      <w:r>
        <w:rPr>
          <w:rFonts w:ascii="Times New Roman Italic" w:hAnsi="Times New Roman Italic" w:cs="Times New Roman Italic"/>
          <w:i/>
          <w:iCs/>
          <w:lang w:eastAsia="zh-CN"/>
        </w:rPr>
        <w:t>There will be confusion between OCNG and UE BW, even if we go that way</w:t>
      </w:r>
    </w:p>
    <w:p w14:paraId="4F579F90">
      <w:pPr>
        <w:pStyle w:val="172"/>
        <w:numPr>
          <w:ilvl w:val="1"/>
          <w:numId w:val="12"/>
        </w:numPr>
        <w:spacing w:after="120"/>
        <w:rPr>
          <w:rFonts w:ascii="Times New Roman Italic" w:hAnsi="Times New Roman Italic" w:cs="Times New Roman Italic"/>
          <w:i/>
          <w:iCs/>
          <w:lang w:eastAsia="zh-CN"/>
        </w:rPr>
      </w:pPr>
      <w:r>
        <w:rPr>
          <w:rFonts w:ascii="Times New Roman Italic" w:hAnsi="Times New Roman Italic" w:cs="Times New Roman Italic"/>
          <w:i/>
          <w:iCs/>
          <w:lang w:eastAsia="zh-CN"/>
        </w:rPr>
        <w:t>Challenge for TE: interpret OCNG (and other RMCs) as the UE BW</w:t>
      </w:r>
    </w:p>
    <w:p w14:paraId="4F579F91">
      <w:pPr>
        <w:pStyle w:val="172"/>
        <w:numPr>
          <w:ilvl w:val="1"/>
          <w:numId w:val="12"/>
        </w:numPr>
        <w:spacing w:after="120"/>
        <w:rPr>
          <w:rFonts w:ascii="Times New Roman Italic" w:hAnsi="Times New Roman Italic" w:cs="Times New Roman Italic"/>
          <w:i/>
          <w:iCs/>
          <w:lang w:eastAsia="zh-CN"/>
        </w:rPr>
      </w:pPr>
      <w:r>
        <w:rPr>
          <w:rFonts w:ascii="Times New Roman Italic" w:hAnsi="Times New Roman Italic" w:cs="Times New Roman Italic"/>
          <w:i/>
          <w:iCs/>
          <w:lang w:eastAsia="zh-CN"/>
        </w:rPr>
        <w:t>Two steps could be considered:</w:t>
      </w:r>
    </w:p>
    <w:p w14:paraId="4F579F92">
      <w:pPr>
        <w:pStyle w:val="172"/>
        <w:numPr>
          <w:ilvl w:val="2"/>
          <w:numId w:val="12"/>
        </w:numPr>
        <w:rPr>
          <w:rFonts w:ascii="Times New Roman Italic" w:hAnsi="Times New Roman Italic" w:cs="Times New Roman Italic"/>
          <w:i/>
          <w:iCs/>
          <w:lang w:eastAsia="zh-CN"/>
        </w:rPr>
      </w:pPr>
      <w:r>
        <w:rPr>
          <w:rFonts w:ascii="Times New Roman Italic" w:hAnsi="Times New Roman Italic" w:cs="Times New Roman Italic"/>
          <w:i/>
          <w:iCs/>
          <w:lang w:eastAsia="zh-CN"/>
        </w:rPr>
        <w:t>Step 1: in the configuration, separately cell BW and UE channel BW are mentioned</w:t>
      </w:r>
    </w:p>
    <w:p w14:paraId="4F579F93">
      <w:pPr>
        <w:pStyle w:val="172"/>
        <w:numPr>
          <w:ilvl w:val="2"/>
          <w:numId w:val="12"/>
        </w:numPr>
        <w:rPr>
          <w:rFonts w:ascii="Times New Roman Italic" w:hAnsi="Times New Roman Italic" w:cs="Times New Roman Italic"/>
          <w:i/>
          <w:iCs/>
          <w:lang w:eastAsia="zh-CN"/>
        </w:rPr>
      </w:pPr>
      <w:r>
        <w:rPr>
          <w:rFonts w:ascii="Times New Roman Italic" w:hAnsi="Times New Roman Italic" w:cs="Times New Roman Italic"/>
          <w:i/>
          <w:iCs/>
          <w:lang w:eastAsia="zh-CN"/>
        </w:rPr>
        <w:t>Step 2: resolve the OCNG issue</w:t>
      </w:r>
    </w:p>
    <w:p w14:paraId="4F579F94">
      <w:pPr>
        <w:pStyle w:val="172"/>
        <w:numPr>
          <w:ilvl w:val="1"/>
          <w:numId w:val="12"/>
        </w:numPr>
        <w:rPr>
          <w:lang w:val="en-US"/>
        </w:rPr>
      </w:pPr>
      <w:r>
        <w:rPr>
          <w:rFonts w:ascii="Times New Roman Italic" w:hAnsi="Times New Roman Italic" w:cs="Times New Roman Italic"/>
          <w:i/>
          <w:iCs/>
          <w:lang w:eastAsia="zh-CN"/>
        </w:rPr>
        <w:t>FFS: UE total BW should match a cell BWP (added off-line)</w:t>
      </w:r>
    </w:p>
    <w:p w14:paraId="4F579F95">
      <w:pPr>
        <w:pStyle w:val="172"/>
        <w:numPr>
          <w:ilvl w:val="1"/>
          <w:numId w:val="12"/>
        </w:numPr>
        <w:rPr>
          <w:rFonts w:ascii="Times New Roman Italic" w:hAnsi="Times New Roman Italic" w:cs="Times New Roman Italic"/>
          <w:i/>
          <w:iCs/>
          <w:lang w:eastAsia="zh-CN"/>
        </w:rPr>
      </w:pPr>
      <w:r>
        <w:rPr>
          <w:rFonts w:ascii="Times New Roman Italic" w:hAnsi="Times New Roman Italic" w:cs="Times New Roman Italic"/>
          <w:i/>
          <w:iCs/>
          <w:lang w:eastAsia="zh-CN"/>
        </w:rPr>
        <w:t>Recommendation: consider the above input in the work on TCs</w:t>
      </w:r>
    </w:p>
    <w:p w14:paraId="4F579F96">
      <w:pPr>
        <w:rPr>
          <w:lang w:val="en-US"/>
        </w:rPr>
      </w:pPr>
      <w:r>
        <w:rPr>
          <w:lang w:val="en-US"/>
        </w:rPr>
        <w:br w:type="textWrapping"/>
      </w:r>
      <w:r>
        <w:rPr>
          <w:lang w:val="en-US"/>
        </w:rPr>
        <w:t xml:space="preserve">FH for positioning measurement has been specified to enable RedCap UE that is capable of receiving PRS resources up to 20MHz/100MHz in FR1/FR2 to receive and process wide BW PRS resources of up to 100MHz/400MHz in FR1/FR2 for high accuracy positioning measurements. An example illustration of FH performed by UE is presented in </w:t>
      </w:r>
      <w:r>
        <w:rPr>
          <w:lang w:val="sv-SE"/>
        </w:rPr>
        <w:fldChar w:fldCharType="begin"/>
      </w:r>
      <w:r>
        <w:rPr>
          <w:lang w:val="en-US"/>
        </w:rPr>
        <w:instrText xml:space="preserve"> REF _Ref1785396194 \h </w:instrText>
      </w:r>
      <w:r>
        <w:rPr>
          <w:lang w:val="sv-SE"/>
        </w:rPr>
        <w:fldChar w:fldCharType="separate"/>
      </w:r>
      <w:r>
        <w:t>Figure 1</w:t>
      </w:r>
      <w:r>
        <w:rPr>
          <w:lang w:val="sv-SE"/>
        </w:rPr>
        <w:fldChar w:fldCharType="end"/>
      </w:r>
      <w:r>
        <w:rPr>
          <w:lang w:val="en-US"/>
        </w:rPr>
        <w:t xml:space="preserve">, where the cell transmits a wide BW PRS resource and UE performs FH where in each hop UE receives a part of wide BW PRS resource, accumulates PRS resources received over multiple hops and produces measurements based on the aggregated resources. To test the UE capability to perform FH for positioning measurement and meet the corresponding requirement, it is important that test setup supports FH procedure as highlighted in </w:t>
      </w:r>
      <w:r>
        <w:rPr>
          <w:lang w:val="sv-SE"/>
        </w:rPr>
        <w:fldChar w:fldCharType="begin"/>
      </w:r>
      <w:r>
        <w:rPr>
          <w:lang w:val="en-US"/>
        </w:rPr>
        <w:instrText xml:space="preserve"> REF _Ref1785396194 \h </w:instrText>
      </w:r>
      <w:r>
        <w:rPr>
          <w:lang w:val="sv-SE"/>
        </w:rPr>
        <w:fldChar w:fldCharType="separate"/>
      </w:r>
      <w:r>
        <w:t>Figure 1</w:t>
      </w:r>
      <w:r>
        <w:rPr>
          <w:lang w:val="sv-SE"/>
        </w:rPr>
        <w:fldChar w:fldCharType="end"/>
      </w:r>
      <w:r>
        <w:rPr>
          <w:lang w:val="en-US"/>
        </w:rPr>
        <w:t>, where the UE BW corresponds to per hop BW (shown in blue color) and the cell BW (at least equal to the BW of aggregated resources) corresponds to BW of the PRS resource such that cell BW is larger than the UE BW or per hop BW. In this regard, we understand that in the TC for FH UE bandwidth and cell BW cannot be same and the cell BW needs to be larger than the UE BW to ensure FH is tested in an appropriate way. This approach is captured inside the square bracket in the first bullet of agreement. To support this setup, new PRS RMC was agreed to be introduced for 15kHz and 120kHz SCS. In our view, new PRS RMS for 30kHz SCS also needs to be specified.</w:t>
      </w:r>
    </w:p>
    <w:p w14:paraId="4F579F97">
      <w:pPr>
        <w:rPr>
          <w:rFonts w:ascii="Times New Roman Italic" w:hAnsi="Times New Roman Italic" w:cs="Times New Roman Italic"/>
          <w:i/>
          <w:iCs/>
          <w:lang w:eastAsia="zh-CN"/>
        </w:rPr>
      </w:pPr>
      <w:r>
        <w:rPr>
          <w:lang w:val="en-US"/>
        </w:rPr>
        <w:t>The setup where the cell BW is larger than the UE BW received some comments and concern from the one of the TE vendors in the last meeting. The concern expressed was related to the interpretation of OCNG values in a test setup where the UE BW is different than the cell BW. To resolve this issue, an item FFS was proposed.</w:t>
      </w:r>
    </w:p>
    <w:p w14:paraId="6D00B21C">
      <w:pPr>
        <w:rPr>
          <w:lang w:val="en-US" w:eastAsia="zh-CN"/>
        </w:rPr>
      </w:pPr>
      <w:r>
        <w:rPr>
          <w:lang w:val="en-US" w:eastAsia="zh-CN"/>
        </w:rPr>
        <w:t xml:space="preserve">The FFS item, in our interpretation, indicates to a setup where the UE BW is equal to the BWP configured by the cell to UE for PRS reception. UE then needs to switch its BWP to receive PRS resources in multiple hops. Since BWP switching for PRS reception is not supported by FH procedure specified in Rel. 18, it is our view that a setup based on BWP switching framework cannot be used to test UE capability to perform PRS reception by FH and validate its ability to meet requirements specified by RAN4 for RedCap positioning with FH. For RedCap positioning with FH test cases, it is our view that a setup where UE BW is smaller than the cell BW should be used. The generic </w:t>
      </w:r>
      <w:r>
        <w:rPr>
          <w:lang w:val="en-US"/>
        </w:rPr>
        <w:t xml:space="preserve">OCNG </w:t>
      </w:r>
      <w:r>
        <w:rPr>
          <w:lang w:val="en-US" w:eastAsia="zh-CN"/>
        </w:rPr>
        <w:t>pattern OP.1 specified in section A.3.2.1.1 of TS38.133 to emulates interference of transmission to the UE which is not configured to perform PRS reception with FH can still be used. The reason is that from the receiving UE perspective, all other PRS signals transmitted outside its own BW is considered as unwanted signals and this can be emulated by the existing OCNG pattern.</w:t>
      </w:r>
    </w:p>
    <w:p w14:paraId="4F579F98">
      <w:pPr>
        <w:rPr>
          <w:lang w:val="en-US" w:eastAsia="zh-CN"/>
        </w:rPr>
      </w:pPr>
      <w:r>
        <w:rPr>
          <w:b/>
          <w:bCs/>
          <w:u w:val="single"/>
          <w:lang w:val="en-US" w:eastAsia="zh-CN"/>
        </w:rPr>
        <w:t>Proposal 3</w:t>
      </w:r>
      <w:r>
        <w:rPr>
          <w:lang w:val="en-US" w:eastAsia="zh-CN"/>
        </w:rPr>
        <w:t>: Introduce a new PRS RMC with large BW and repetition for 30kHz SCS to be used in FH TCs for accuracy requirement.</w:t>
      </w:r>
    </w:p>
    <w:p w14:paraId="4F579F99">
      <w:pPr>
        <w:rPr>
          <w:lang w:val="en-US" w:eastAsia="zh-CN"/>
        </w:rPr>
      </w:pPr>
      <w:r>
        <w:rPr>
          <w:rFonts w:ascii="Times New Roman Bold" w:hAnsi="Times New Roman Bold" w:cs="Times New Roman Bold"/>
          <w:b/>
          <w:bCs/>
          <w:u w:val="single"/>
          <w:lang w:val="en-US" w:eastAsia="zh-CN"/>
        </w:rPr>
        <w:t>Proposal 4</w:t>
      </w:r>
      <w:r>
        <w:rPr>
          <w:lang w:val="en-US" w:eastAsia="zh-CN"/>
        </w:rPr>
        <w:t xml:space="preserve">: Test case for RedCap positioning with FH should not be based on BWP switching framework. </w:t>
      </w:r>
    </w:p>
    <w:p w14:paraId="4F579F9A">
      <w:pPr>
        <w:rPr>
          <w:lang w:val="en-US" w:eastAsia="zh-CN"/>
        </w:rPr>
      </w:pPr>
      <w:r>
        <w:rPr>
          <w:rFonts w:ascii="Times New Roman Bold" w:hAnsi="Times New Roman Bold" w:cs="Times New Roman Bold"/>
          <w:b/>
          <w:bCs/>
          <w:u w:val="single"/>
          <w:lang w:val="en-US" w:eastAsia="zh-CN"/>
        </w:rPr>
        <w:t>Proposal 5</w:t>
      </w:r>
      <w:r>
        <w:rPr>
          <w:lang w:val="en-US" w:eastAsia="zh-CN"/>
        </w:rPr>
        <w:t>: BW configuration where UE BW is smaller than cell BW is considered for RedCap positioning with FH test cases.</w:t>
      </w:r>
    </w:p>
    <w:p w14:paraId="4F579F9B">
      <w:pPr>
        <w:numPr>
          <w:ilvl w:val="0"/>
          <w:numId w:val="14"/>
        </w:numPr>
        <w:tabs>
          <w:tab w:val="left" w:pos="440"/>
          <w:tab w:val="clear" w:pos="840"/>
        </w:tabs>
        <w:rPr>
          <w:lang w:val="en-US" w:eastAsia="zh-CN"/>
        </w:rPr>
      </w:pPr>
      <w:r>
        <w:rPr>
          <w:lang w:val="en-US" w:eastAsia="zh-CN"/>
        </w:rPr>
        <w:t xml:space="preserve">The generic </w:t>
      </w:r>
      <w:r>
        <w:rPr>
          <w:lang w:val="en-US"/>
        </w:rPr>
        <w:t xml:space="preserve">OCNG </w:t>
      </w:r>
      <w:r>
        <w:rPr>
          <w:lang w:val="en-US" w:eastAsia="zh-CN"/>
        </w:rPr>
        <w:t>pattern OP.1 specified in section A.3.2.1.1 of TS38.133 is used in the test case.</w:t>
      </w:r>
    </w:p>
    <w:p w14:paraId="4F579F9C">
      <w:pPr>
        <w:tabs>
          <w:tab w:val="left" w:pos="440"/>
        </w:tabs>
        <w:rPr>
          <w:lang w:val="en-US" w:eastAsia="zh-CN"/>
        </w:rPr>
      </w:pPr>
    </w:p>
    <w:p w14:paraId="3E7F6391">
      <w:pPr>
        <w:tabs>
          <w:tab w:val="left" w:pos="440"/>
        </w:tabs>
        <w:rPr>
          <w:b/>
          <w:bCs/>
          <w:highlight w:val="none"/>
          <w:u w:val="single"/>
          <w:lang w:val="en-US" w:eastAsia="zh-CN"/>
        </w:rPr>
      </w:pPr>
      <w:r>
        <w:rPr>
          <w:b/>
          <w:bCs/>
          <w:highlight w:val="none"/>
          <w:u w:val="single"/>
          <w:lang w:val="en-US" w:eastAsia="zh-CN"/>
        </w:rPr>
        <w:t>Accuracy requirement</w:t>
      </w:r>
    </w:p>
    <w:p w14:paraId="200248A6">
      <w:pPr>
        <w:tabs>
          <w:tab w:val="left" w:pos="440"/>
        </w:tabs>
        <w:rPr>
          <w:rFonts w:hint="default"/>
          <w:b w:val="0"/>
          <w:bCs w:val="0"/>
          <w:color w:val="auto"/>
          <w:highlight w:val="none"/>
          <w:lang w:val="sv-SE" w:eastAsia="zh-CN"/>
        </w:rPr>
      </w:pPr>
      <w:r>
        <w:rPr>
          <w:highlight w:val="none"/>
          <w:lang w:val="en-US" w:eastAsia="zh-CN"/>
        </w:rPr>
        <w:t>RAN4#112 endorsed draftCR for RedCap positioning accuracy requirements. The accuracy requirements endorsed in the last meeting</w:t>
      </w:r>
      <w:r>
        <w:rPr>
          <w:rFonts w:hint="default"/>
          <w:highlight w:val="none"/>
          <w:lang w:val="sv-SE" w:eastAsia="zh-CN"/>
        </w:rPr>
        <w:t xml:space="preserve"> seem a bit too optimistic to be achieved by a RedCap device. It is therefore our view that the minimum performance requirement for RedCap positioning endorsed in the last meeting needs to be revisited. I</w:t>
      </w:r>
      <w:r>
        <w:rPr>
          <w:highlight w:val="none"/>
          <w:lang w:val="en-US" w:eastAsia="zh-CN"/>
        </w:rPr>
        <w:t xml:space="preserve">n our companion paper </w:t>
      </w:r>
      <w:r>
        <w:rPr>
          <w:b w:val="0"/>
          <w:bCs w:val="0"/>
          <w:color w:val="auto"/>
          <w:highlight w:val="none"/>
          <w:lang w:val="en-US" w:eastAsia="zh-CN"/>
        </w:rPr>
        <w:t>R4-24</w:t>
      </w:r>
      <w:r>
        <w:rPr>
          <w:rFonts w:hint="default"/>
          <w:b w:val="0"/>
          <w:bCs w:val="0"/>
          <w:color w:val="auto"/>
          <w:highlight w:val="none"/>
          <w:lang w:val="sv-SE" w:eastAsia="zh-CN"/>
        </w:rPr>
        <w:t xml:space="preserve">16325, an updated simulation summary is presented. The document also contains, new average values that are calculated by considering non-outliers and shall be used to define the accuracy requirements for positioning measurements performed by RedCap UE. </w:t>
      </w:r>
    </w:p>
    <w:p w14:paraId="1014DB1D">
      <w:pPr>
        <w:tabs>
          <w:tab w:val="left" w:pos="440"/>
        </w:tabs>
        <w:rPr>
          <w:highlight w:val="none"/>
          <w:lang w:val="en-US" w:eastAsia="zh-CN"/>
        </w:rPr>
      </w:pPr>
      <w:r>
        <w:rPr>
          <w:b/>
          <w:bCs/>
          <w:highlight w:val="none"/>
          <w:u w:val="single"/>
          <w:lang w:val="en-US" w:eastAsia="zh-CN"/>
        </w:rPr>
        <w:t>Proposal 6</w:t>
      </w:r>
      <w:r>
        <w:rPr>
          <w:highlight w:val="none"/>
          <w:lang w:val="en-US" w:eastAsia="zh-CN"/>
        </w:rPr>
        <w:t xml:space="preserve">: </w:t>
      </w:r>
      <w:r>
        <w:rPr>
          <w:rFonts w:hint="default"/>
          <w:highlight w:val="none"/>
          <w:lang w:val="sv-SE" w:eastAsia="zh-CN"/>
        </w:rPr>
        <w:t>U</w:t>
      </w:r>
      <w:r>
        <w:rPr>
          <w:rFonts w:hint="default"/>
          <w:highlight w:val="none"/>
          <w:lang w:val="en-US" w:eastAsia="zh-CN"/>
        </w:rPr>
        <w:t xml:space="preserve">pdate the accuracy numbers </w:t>
      </w:r>
      <w:r>
        <w:rPr>
          <w:rFonts w:hint="default"/>
          <w:highlight w:val="none"/>
          <w:lang w:val="sv-SE" w:eastAsia="zh-CN"/>
        </w:rPr>
        <w:t xml:space="preserve">for RedCap positioning measurements </w:t>
      </w:r>
      <w:r>
        <w:rPr>
          <w:rFonts w:hint="default"/>
          <w:highlight w:val="none"/>
          <w:lang w:val="en-US" w:eastAsia="zh-CN"/>
        </w:rPr>
        <w:t>based on the updated simulation summary</w:t>
      </w:r>
      <w:r>
        <w:rPr>
          <w:rFonts w:hint="default"/>
          <w:highlight w:val="none"/>
          <w:lang w:val="sv-SE" w:eastAsia="zh-CN"/>
        </w:rPr>
        <w:t xml:space="preserve"> for RedCap positioning</w:t>
      </w:r>
      <w:r>
        <w:rPr>
          <w:highlight w:val="none"/>
          <w:lang w:val="en-US" w:eastAsia="zh-CN"/>
        </w:rPr>
        <w:t>.</w:t>
      </w:r>
    </w:p>
    <w:p w14:paraId="4F579F9D">
      <w:pPr>
        <w:pStyle w:val="2"/>
        <w:rPr>
          <w:lang w:val="en-US" w:eastAsia="zh-CN"/>
        </w:rPr>
      </w:pPr>
      <w:r>
        <w:rPr>
          <w:lang w:val="en-US" w:eastAsia="zh-CN"/>
        </w:rPr>
        <w:t>Summary</w:t>
      </w:r>
    </w:p>
    <w:p w14:paraId="4F579F9E">
      <w:pPr>
        <w:rPr>
          <w:lang w:val="en-US" w:eastAsia="zh-CN"/>
        </w:rPr>
      </w:pPr>
      <w:r>
        <w:rPr>
          <w:lang w:val="en-US" w:eastAsia="zh-CN"/>
        </w:rPr>
        <w:t>The proposals and observation below summarize the discussions presented in this paper.</w:t>
      </w:r>
    </w:p>
    <w:p w14:paraId="4F579F9F">
      <w:pPr>
        <w:rPr>
          <w:lang w:val="en-US" w:eastAsia="zh-CN"/>
        </w:rPr>
      </w:pPr>
      <w:r>
        <w:rPr>
          <w:rFonts w:ascii="Times New Roman Bold" w:hAnsi="Times New Roman Bold" w:cs="Times New Roman Bold"/>
          <w:b/>
          <w:bCs/>
          <w:u w:val="single"/>
          <w:lang w:val="en-US" w:eastAsia="zh-CN"/>
        </w:rPr>
        <w:t>Observation 1</w:t>
      </w:r>
      <w:r>
        <w:rPr>
          <w:lang w:val="en-US" w:eastAsia="zh-CN"/>
        </w:rPr>
        <w:t>:   The measurement reported by the UE is based on the total bandwidth of the resources after aggregating the PRS resources over all hops.</w:t>
      </w:r>
    </w:p>
    <w:p w14:paraId="4F579FA0">
      <w:pPr>
        <w:rPr>
          <w:lang w:val="en-US" w:eastAsia="zh-CN"/>
        </w:rPr>
      </w:pPr>
      <w:r>
        <w:rPr>
          <w:rFonts w:ascii="Times New Roman Bold" w:hAnsi="Times New Roman Bold" w:cs="Times New Roman Bold"/>
          <w:b/>
          <w:bCs/>
          <w:u w:val="single"/>
          <w:lang w:val="en-US" w:eastAsia="zh-CN"/>
        </w:rPr>
        <w:t>Proposal 1</w:t>
      </w:r>
      <w:r>
        <w:rPr>
          <w:lang w:val="en-US" w:eastAsia="zh-CN"/>
        </w:rPr>
        <w:t xml:space="preserve">: Group delay margin for positioning measurement by FH is defined for the total bandwidth of the PRS resources after all hops. </w:t>
      </w:r>
    </w:p>
    <w:p w14:paraId="4F579FA1">
      <w:pPr>
        <w:numPr>
          <w:ilvl w:val="0"/>
          <w:numId w:val="13"/>
        </w:numPr>
        <w:rPr>
          <w:lang w:val="en-US" w:eastAsia="zh-CN"/>
        </w:rPr>
      </w:pPr>
      <w:r>
        <w:rPr>
          <w:lang w:val="en-US" w:eastAsia="zh-CN"/>
        </w:rPr>
        <w:t>Values for non-RedCap UE are reused to define the group delay margin for RedCap UE where the group delay margin corresponding to a PRS BW for non-RedCap UE is applied to positioning measurement performed by RedCap UE with FH provided the BW of PRS resources for non-RedCap UE is equal to the BW of PRS resources after all hops for RedCap UE.</w:t>
      </w:r>
    </w:p>
    <w:p w14:paraId="4F579FA2">
      <w:pPr>
        <w:rPr>
          <w:lang w:val="en-US" w:eastAsia="zh-CN"/>
        </w:rPr>
      </w:pPr>
      <w:r>
        <w:rPr>
          <w:rFonts w:ascii="Times New Roman Bold" w:hAnsi="Times New Roman Bold" w:cs="Times New Roman Bold"/>
          <w:b/>
          <w:bCs/>
          <w:u w:val="single"/>
          <w:lang w:val="en-US" w:eastAsia="zh-CN"/>
        </w:rPr>
        <w:t>Proposal 2</w:t>
      </w:r>
      <w:r>
        <w:rPr>
          <w:lang w:val="en-US" w:eastAsia="zh-CN"/>
        </w:rPr>
        <w:t>: Reuse frequency drift margin values, Y values in existing specification, for single PFL and multiple PFLs defined for non-RedCap UE to specify impact of frequency drift margin value on RSTD measurement performed by RedCap UE with FH on single PFL and multiple PFLs.</w:t>
      </w:r>
      <w:r>
        <w:rPr>
          <w:lang w:val="en-US" w:eastAsia="zh-CN"/>
        </w:rPr>
        <w:br w:type="textWrapping"/>
      </w:r>
    </w:p>
    <w:p w14:paraId="714C44EA">
      <w:pPr>
        <w:rPr>
          <w:lang w:val="en-US" w:eastAsia="zh-CN"/>
        </w:rPr>
      </w:pPr>
      <w:r>
        <w:rPr>
          <w:b/>
          <w:bCs/>
          <w:u w:val="single"/>
          <w:lang w:val="en-US" w:eastAsia="zh-CN"/>
        </w:rPr>
        <w:t>Proposal 3</w:t>
      </w:r>
      <w:r>
        <w:rPr>
          <w:lang w:val="en-US" w:eastAsia="zh-CN"/>
        </w:rPr>
        <w:t>: Introduce a new PRS RMC with large BW and repetition for 30kHz SCS to be used in FH TCs for accuracy requirement.</w:t>
      </w:r>
      <w:r>
        <w:rPr>
          <w:lang w:val="en-US" w:eastAsia="zh-CN"/>
        </w:rPr>
        <w:br w:type="textWrapping"/>
      </w:r>
    </w:p>
    <w:p w14:paraId="15FCBEB2">
      <w:pPr>
        <w:rPr>
          <w:lang w:val="en-US" w:eastAsia="zh-CN"/>
        </w:rPr>
      </w:pPr>
      <w:r>
        <w:rPr>
          <w:rFonts w:ascii="Times New Roman Bold" w:hAnsi="Times New Roman Bold" w:cs="Times New Roman Bold"/>
          <w:b/>
          <w:bCs/>
          <w:u w:val="single"/>
          <w:lang w:val="en-US" w:eastAsia="zh-CN"/>
        </w:rPr>
        <w:t>Proposal 4</w:t>
      </w:r>
      <w:r>
        <w:rPr>
          <w:lang w:val="en-US" w:eastAsia="zh-CN"/>
        </w:rPr>
        <w:t>: Test case for RedCap positioning with FH should not be based on BWP switching framework.</w:t>
      </w:r>
      <w:r>
        <w:rPr>
          <w:lang w:val="en-US" w:eastAsia="zh-CN"/>
        </w:rPr>
        <w:br w:type="textWrapping"/>
      </w:r>
      <w:r>
        <w:rPr>
          <w:lang w:val="en-US" w:eastAsia="zh-CN"/>
        </w:rPr>
        <w:t xml:space="preserve"> </w:t>
      </w:r>
    </w:p>
    <w:p w14:paraId="1C2C658B">
      <w:pPr>
        <w:rPr>
          <w:lang w:val="en-US" w:eastAsia="zh-CN"/>
        </w:rPr>
      </w:pPr>
      <w:r>
        <w:rPr>
          <w:rFonts w:ascii="Times New Roman Bold" w:hAnsi="Times New Roman Bold" w:cs="Times New Roman Bold"/>
          <w:b/>
          <w:bCs/>
          <w:u w:val="single"/>
          <w:lang w:val="en-US" w:eastAsia="zh-CN"/>
        </w:rPr>
        <w:t>Proposal 5</w:t>
      </w:r>
      <w:r>
        <w:rPr>
          <w:lang w:val="en-US" w:eastAsia="zh-CN"/>
        </w:rPr>
        <w:t>: BW configuration where UE BW is smaller than cell BW is considered for RedCap positioning with FH test cases.</w:t>
      </w:r>
    </w:p>
    <w:p w14:paraId="4F579FA6">
      <w:pPr>
        <w:numPr>
          <w:ilvl w:val="0"/>
          <w:numId w:val="14"/>
        </w:numPr>
        <w:tabs>
          <w:tab w:val="left" w:pos="440"/>
          <w:tab w:val="clear" w:pos="840"/>
        </w:tabs>
        <w:rPr>
          <w:lang w:val="en-US" w:eastAsia="zh-CN"/>
        </w:rPr>
      </w:pPr>
      <w:r>
        <w:rPr>
          <w:lang w:val="en-US" w:eastAsia="zh-CN"/>
        </w:rPr>
        <w:t xml:space="preserve">The generic </w:t>
      </w:r>
      <w:r>
        <w:rPr>
          <w:lang w:val="en-US"/>
        </w:rPr>
        <w:t xml:space="preserve">OCNG </w:t>
      </w:r>
      <w:r>
        <w:rPr>
          <w:lang w:val="en-US" w:eastAsia="zh-CN"/>
        </w:rPr>
        <w:t>pattern OP.1 specified in section A.3.2.1.1 of TS38.133 is used in the test case.</w:t>
      </w:r>
    </w:p>
    <w:p w14:paraId="0207F91A">
      <w:pPr>
        <w:tabs>
          <w:tab w:val="left" w:pos="440"/>
        </w:tabs>
        <w:rPr>
          <w:lang w:val="en-US" w:eastAsia="zh-CN"/>
        </w:rPr>
      </w:pPr>
      <w:r>
        <w:rPr>
          <w:b/>
          <w:bCs/>
          <w:u w:val="single"/>
          <w:lang w:val="en-US" w:eastAsia="zh-CN"/>
        </w:rPr>
        <w:br w:type="textWrapping"/>
      </w:r>
      <w:r>
        <w:rPr>
          <w:b/>
          <w:bCs/>
          <w:highlight w:val="none"/>
          <w:u w:val="single"/>
          <w:lang w:val="en-US" w:eastAsia="zh-CN"/>
        </w:rPr>
        <w:t>Proposal 6</w:t>
      </w:r>
      <w:r>
        <w:rPr>
          <w:highlight w:val="none"/>
          <w:lang w:val="en-US" w:eastAsia="zh-CN"/>
        </w:rPr>
        <w:t xml:space="preserve">: </w:t>
      </w:r>
      <w:r>
        <w:rPr>
          <w:rFonts w:hint="default"/>
          <w:highlight w:val="none"/>
          <w:lang w:val="sv-SE" w:eastAsia="zh-CN"/>
        </w:rPr>
        <w:t>U</w:t>
      </w:r>
      <w:r>
        <w:rPr>
          <w:rFonts w:hint="default"/>
          <w:highlight w:val="none"/>
          <w:lang w:val="en-US" w:eastAsia="zh-CN"/>
        </w:rPr>
        <w:t xml:space="preserve">pdate the accuracy numbers </w:t>
      </w:r>
      <w:r>
        <w:rPr>
          <w:rFonts w:hint="default"/>
          <w:highlight w:val="none"/>
          <w:lang w:val="sv-SE" w:eastAsia="zh-CN"/>
        </w:rPr>
        <w:t xml:space="preserve">for RedCap positioning measurements </w:t>
      </w:r>
      <w:r>
        <w:rPr>
          <w:rFonts w:hint="default"/>
          <w:highlight w:val="none"/>
          <w:lang w:val="en-US" w:eastAsia="zh-CN"/>
        </w:rPr>
        <w:t>based on the updated simulation summary</w:t>
      </w:r>
      <w:r>
        <w:rPr>
          <w:rFonts w:hint="default"/>
          <w:highlight w:val="none"/>
          <w:lang w:val="sv-SE" w:eastAsia="zh-CN"/>
        </w:rPr>
        <w:t xml:space="preserve"> for RedCap positioning</w:t>
      </w:r>
      <w:bookmarkStart w:id="3" w:name="_GoBack"/>
      <w:bookmarkEnd w:id="3"/>
      <w:r>
        <w:rPr>
          <w:highlight w:val="none"/>
          <w:lang w:val="en-US" w:eastAsia="zh-CN"/>
        </w:rPr>
        <w:t>.</w:t>
      </w:r>
      <w:r>
        <w:rPr>
          <w:highlight w:val="none"/>
          <w:lang w:val="en-US" w:eastAsia="zh-CN"/>
        </w:rPr>
        <w:br w:type="textWrapping"/>
      </w:r>
    </w:p>
    <w:p w14:paraId="4F579FA7">
      <w:pPr>
        <w:pStyle w:val="2"/>
        <w:rPr>
          <w:lang w:val="sv-SE" w:eastAsia="zh-CN"/>
        </w:rPr>
      </w:pPr>
      <w:r>
        <w:rPr>
          <w:lang w:val="sv-SE" w:eastAsia="zh-CN"/>
        </w:rPr>
        <w:t>References</w:t>
      </w:r>
    </w:p>
    <w:p w14:paraId="4F579FA8">
      <w:pPr>
        <w:pStyle w:val="172"/>
        <w:numPr>
          <w:ilvl w:val="0"/>
          <w:numId w:val="15"/>
        </w:numPr>
        <w:tabs>
          <w:tab w:val="left" w:pos="-420"/>
          <w:tab w:val="clear" w:pos="425"/>
        </w:tabs>
        <w:rPr>
          <w:lang w:val="en-US" w:eastAsia="ja-JP"/>
        </w:rPr>
      </w:pPr>
      <w:r>
        <w:rPr>
          <w:lang w:val="en-US" w:eastAsia="ja-JP"/>
        </w:rPr>
        <w:t>R4-2414032, WF on RedCap positioning and PRS/SRS bandwidth aggregation, Ericsson.</w:t>
      </w:r>
    </w:p>
    <w:p w14:paraId="4F579FA9">
      <w:pPr>
        <w:rPr>
          <w:lang w:val="en-US" w:eastAsia="zh-CN"/>
        </w:rPr>
      </w:pPr>
    </w:p>
    <w:p w14:paraId="4F579FAA">
      <w:pPr>
        <w:tabs>
          <w:tab w:val="left" w:pos="440"/>
        </w:tabs>
        <w:rPr>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Times New Roman Bold Italic">
    <w:panose1 w:val="02020603050405020304"/>
    <w:charset w:val="00"/>
    <w:family w:val="auto"/>
    <w:pitch w:val="default"/>
    <w:sig w:usb0="E0002AEF" w:usb1="C0007841" w:usb2="00000009" w:usb3="00000000" w:csb0="400001FF" w:csb1="FFFF0000"/>
  </w:font>
  <w:font w:name="Times New Roman Bold">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宋体-简">
    <w:panose1 w:val="02010800040101010101"/>
    <w:charset w:val="86"/>
    <w:family w:val="auto"/>
    <w:pitch w:val="default"/>
    <w:sig w:usb0="00000001" w:usb1="080F0000" w:usb2="00000000"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Hiragino Sans">
    <w:panose1 w:val="020B0700000000000000"/>
    <w:charset w:val="80"/>
    <w:family w:val="auto"/>
    <w:pitch w:val="default"/>
    <w:sig w:usb0="800002CF" w:usb1="6AC7FCFC" w:usb2="00000012" w:usb3="00000000" w:csb0="0002000D" w:csb1="00000000"/>
  </w:font>
  <w:font w:name="宋体-繁">
    <w:panose1 w:val="02010600040101010101"/>
    <w:charset w:val="86"/>
    <w:family w:val="auto"/>
    <w:pitch w:val="default"/>
    <w:sig w:usb0="00000287" w:usb1="080F0000" w:usb2="00000000" w:usb3="00000000" w:csb0="0004009F" w:csb1="DFD7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黑体-简">
    <w:panose1 w:val="00000000000000000000"/>
    <w:charset w:val="86"/>
    <w:family w:val="auto"/>
    <w:pitch w:val="default"/>
    <w:sig w:usb0="8000002F" w:usb1="0800004A" w:usb2="00000000" w:usb3="00000000" w:csb0="203E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79FB1">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79FB0">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79FB2">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132C1"/>
    <w:multiLevelType w:val="singleLevel"/>
    <w:tmpl w:val="EBF132C1"/>
    <w:lvl w:ilvl="0" w:tentative="0">
      <w:start w:val="1"/>
      <w:numFmt w:val="bullet"/>
      <w:lvlText w:val=""/>
      <w:lvlJc w:val="left"/>
      <w:pPr>
        <w:tabs>
          <w:tab w:val="left" w:pos="420"/>
        </w:tabs>
        <w:ind w:left="420" w:hanging="420"/>
      </w:pPr>
      <w:rPr>
        <w:rFonts w:hint="default" w:ascii="Wingdings" w:hAnsi="Wingdings"/>
        <w:sz w:val="13"/>
        <w:szCs w:val="13"/>
      </w:rPr>
    </w:lvl>
  </w:abstractNum>
  <w:abstractNum w:abstractNumId="1">
    <w:nsid w:val="FDF73FAD"/>
    <w:multiLevelType w:val="singleLevel"/>
    <w:tmpl w:val="FDF73FAD"/>
    <w:lvl w:ilvl="0" w:tentative="0">
      <w:start w:val="1"/>
      <w:numFmt w:val="bullet"/>
      <w:lvlText w:val=""/>
      <w:lvlJc w:val="left"/>
      <w:pPr>
        <w:tabs>
          <w:tab w:val="left" w:pos="840"/>
        </w:tabs>
        <w:ind w:left="840" w:hanging="420"/>
      </w:pPr>
      <w:rPr>
        <w:rFonts w:hint="default" w:ascii="Wingdings" w:hAnsi="Wingdings"/>
        <w:sz w:val="13"/>
        <w:szCs w:val="13"/>
      </w:rPr>
    </w:lvl>
  </w:abstractNum>
  <w:abstractNum w:abstractNumId="2">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8">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1">
    <w:nsid w:val="58B73482"/>
    <w:multiLevelType w:val="multilevel"/>
    <w:tmpl w:val="58B73482"/>
    <w:lvl w:ilvl="0" w:tentative="0">
      <w:start w:val="1"/>
      <w:numFmt w:val="bullet"/>
      <w:lvlText w:val=""/>
      <w:lvlJc w:val="left"/>
      <w:pPr>
        <w:tabs>
          <w:tab w:val="left" w:pos="-420"/>
        </w:tabs>
        <w:ind w:left="516" w:hanging="360"/>
      </w:pPr>
      <w:rPr>
        <w:rFonts w:hint="default" w:ascii="Wingdings" w:hAnsi="Wingdings"/>
      </w:rPr>
    </w:lvl>
    <w:lvl w:ilvl="1" w:tentative="0">
      <w:start w:val="1"/>
      <w:numFmt w:val="bullet"/>
      <w:lvlText w:val=""/>
      <w:lvlJc w:val="left"/>
      <w:pPr>
        <w:tabs>
          <w:tab w:val="left" w:pos="-420"/>
        </w:tabs>
        <w:ind w:left="1236" w:hanging="360"/>
      </w:pPr>
      <w:rPr>
        <w:rFonts w:hint="default" w:ascii="Wingdings" w:hAnsi="Wingdings"/>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2">
    <w:nsid w:val="5BE73CD5"/>
    <w:multiLevelType w:val="singleLevel"/>
    <w:tmpl w:val="5BE73CD5"/>
    <w:lvl w:ilvl="0" w:tentative="0">
      <w:start w:val="1"/>
      <w:numFmt w:val="decimal"/>
      <w:lvlText w:val="%1."/>
      <w:lvlJc w:val="left"/>
      <w:pPr>
        <w:tabs>
          <w:tab w:val="left" w:pos="425"/>
        </w:tabs>
        <w:ind w:left="425" w:hanging="425"/>
      </w:pPr>
      <w:rPr>
        <w:rFonts w:hint="default"/>
      </w:rPr>
    </w:lvl>
  </w:abstractNum>
  <w:abstractNum w:abstractNumId="13">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4">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3"/>
  </w:num>
  <w:num w:numId="4">
    <w:abstractNumId w:val="14"/>
  </w:num>
  <w:num w:numId="5">
    <w:abstractNumId w:val="4"/>
  </w:num>
  <w:num w:numId="6">
    <w:abstractNumId w:val="9"/>
  </w:num>
  <w:num w:numId="7">
    <w:abstractNumId w:val="5"/>
  </w:num>
  <w:num w:numId="8">
    <w:abstractNumId w:val="2"/>
  </w:num>
  <w:num w:numId="9">
    <w:abstractNumId w:val="8"/>
  </w:num>
  <w:num w:numId="10">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0"/>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embedSystemFonts/>
  <w:bordersDoNotSurroundHeader w:val="0"/>
  <w:bordersDoNotSurroundFooter w:val="0"/>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141C"/>
    <w:rsid w:val="000015D2"/>
    <w:rsid w:val="000030EC"/>
    <w:rsid w:val="00006F6D"/>
    <w:rsid w:val="000070AC"/>
    <w:rsid w:val="0001285F"/>
    <w:rsid w:val="00012898"/>
    <w:rsid w:val="00016B39"/>
    <w:rsid w:val="00022E4A"/>
    <w:rsid w:val="00023765"/>
    <w:rsid w:val="0002404C"/>
    <w:rsid w:val="00024174"/>
    <w:rsid w:val="000254EB"/>
    <w:rsid w:val="00026CA2"/>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00A4"/>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199A"/>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C596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2EDF"/>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97D28"/>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4412"/>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836"/>
    <w:rsid w:val="00437B32"/>
    <w:rsid w:val="00444278"/>
    <w:rsid w:val="0044477E"/>
    <w:rsid w:val="004462CF"/>
    <w:rsid w:val="00447683"/>
    <w:rsid w:val="00450E80"/>
    <w:rsid w:val="00452E07"/>
    <w:rsid w:val="00454487"/>
    <w:rsid w:val="004554EF"/>
    <w:rsid w:val="0046175B"/>
    <w:rsid w:val="00464346"/>
    <w:rsid w:val="004644EE"/>
    <w:rsid w:val="00464B26"/>
    <w:rsid w:val="00467418"/>
    <w:rsid w:val="00470901"/>
    <w:rsid w:val="00470D2E"/>
    <w:rsid w:val="00471129"/>
    <w:rsid w:val="00472D1E"/>
    <w:rsid w:val="00473DEB"/>
    <w:rsid w:val="00477B1D"/>
    <w:rsid w:val="00480375"/>
    <w:rsid w:val="0048159C"/>
    <w:rsid w:val="0048185F"/>
    <w:rsid w:val="00481D3B"/>
    <w:rsid w:val="00482903"/>
    <w:rsid w:val="004845BA"/>
    <w:rsid w:val="0048488C"/>
    <w:rsid w:val="00486A25"/>
    <w:rsid w:val="00490E48"/>
    <w:rsid w:val="0049258B"/>
    <w:rsid w:val="00492830"/>
    <w:rsid w:val="00492F69"/>
    <w:rsid w:val="004947A8"/>
    <w:rsid w:val="004973E9"/>
    <w:rsid w:val="004A1923"/>
    <w:rsid w:val="004A1C74"/>
    <w:rsid w:val="004A36A9"/>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D7D18"/>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5BF6"/>
    <w:rsid w:val="00576A9F"/>
    <w:rsid w:val="005800EF"/>
    <w:rsid w:val="00582E1A"/>
    <w:rsid w:val="00584E78"/>
    <w:rsid w:val="005854C2"/>
    <w:rsid w:val="0059083C"/>
    <w:rsid w:val="00590EE3"/>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16C7"/>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05E0"/>
    <w:rsid w:val="00621188"/>
    <w:rsid w:val="00621CF7"/>
    <w:rsid w:val="00624B75"/>
    <w:rsid w:val="006255CD"/>
    <w:rsid w:val="006257ED"/>
    <w:rsid w:val="00626191"/>
    <w:rsid w:val="006263B4"/>
    <w:rsid w:val="0062663E"/>
    <w:rsid w:val="006301CB"/>
    <w:rsid w:val="00632375"/>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2093"/>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34C"/>
    <w:rsid w:val="006F5F95"/>
    <w:rsid w:val="00703883"/>
    <w:rsid w:val="00704DD1"/>
    <w:rsid w:val="00706E96"/>
    <w:rsid w:val="00707DCD"/>
    <w:rsid w:val="00707FF5"/>
    <w:rsid w:val="00713E0C"/>
    <w:rsid w:val="00714B27"/>
    <w:rsid w:val="007176AD"/>
    <w:rsid w:val="007176FF"/>
    <w:rsid w:val="0072258E"/>
    <w:rsid w:val="007235B5"/>
    <w:rsid w:val="00723FF3"/>
    <w:rsid w:val="0072570E"/>
    <w:rsid w:val="00730245"/>
    <w:rsid w:val="007403B3"/>
    <w:rsid w:val="00742109"/>
    <w:rsid w:val="00744636"/>
    <w:rsid w:val="007462BB"/>
    <w:rsid w:val="00753765"/>
    <w:rsid w:val="00753AE1"/>
    <w:rsid w:val="0075498B"/>
    <w:rsid w:val="007553E3"/>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3F81"/>
    <w:rsid w:val="0081464A"/>
    <w:rsid w:val="00816118"/>
    <w:rsid w:val="0081738C"/>
    <w:rsid w:val="00820EEB"/>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72AC"/>
    <w:rsid w:val="00917DB0"/>
    <w:rsid w:val="00925D94"/>
    <w:rsid w:val="00926513"/>
    <w:rsid w:val="0093186B"/>
    <w:rsid w:val="00932144"/>
    <w:rsid w:val="00934D0D"/>
    <w:rsid w:val="00934D97"/>
    <w:rsid w:val="00935E88"/>
    <w:rsid w:val="009404CC"/>
    <w:rsid w:val="00941E30"/>
    <w:rsid w:val="009428DA"/>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6125"/>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3FF"/>
    <w:rsid w:val="009D34AA"/>
    <w:rsid w:val="009D3E43"/>
    <w:rsid w:val="009D608E"/>
    <w:rsid w:val="009D7B22"/>
    <w:rsid w:val="009E12CD"/>
    <w:rsid w:val="009E3297"/>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00D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26C0"/>
    <w:rsid w:val="00AE3531"/>
    <w:rsid w:val="00AE3A08"/>
    <w:rsid w:val="00AE3AD3"/>
    <w:rsid w:val="00AE4BB2"/>
    <w:rsid w:val="00AE50D4"/>
    <w:rsid w:val="00AE54C2"/>
    <w:rsid w:val="00AE69B6"/>
    <w:rsid w:val="00AE76AA"/>
    <w:rsid w:val="00AF2954"/>
    <w:rsid w:val="00AF2E38"/>
    <w:rsid w:val="00AF6406"/>
    <w:rsid w:val="00AF6B22"/>
    <w:rsid w:val="00AF77F4"/>
    <w:rsid w:val="00B06011"/>
    <w:rsid w:val="00B06AC0"/>
    <w:rsid w:val="00B071D7"/>
    <w:rsid w:val="00B07F5B"/>
    <w:rsid w:val="00B109F2"/>
    <w:rsid w:val="00B14511"/>
    <w:rsid w:val="00B14F1B"/>
    <w:rsid w:val="00B15075"/>
    <w:rsid w:val="00B210D7"/>
    <w:rsid w:val="00B23520"/>
    <w:rsid w:val="00B244E1"/>
    <w:rsid w:val="00B258BB"/>
    <w:rsid w:val="00B259FD"/>
    <w:rsid w:val="00B305E2"/>
    <w:rsid w:val="00B3174C"/>
    <w:rsid w:val="00B31A79"/>
    <w:rsid w:val="00B3233E"/>
    <w:rsid w:val="00B35E1A"/>
    <w:rsid w:val="00B35F20"/>
    <w:rsid w:val="00B42878"/>
    <w:rsid w:val="00B43147"/>
    <w:rsid w:val="00B43149"/>
    <w:rsid w:val="00B44308"/>
    <w:rsid w:val="00B45A85"/>
    <w:rsid w:val="00B52C49"/>
    <w:rsid w:val="00B5548F"/>
    <w:rsid w:val="00B61A70"/>
    <w:rsid w:val="00B640E9"/>
    <w:rsid w:val="00B6478F"/>
    <w:rsid w:val="00B67B97"/>
    <w:rsid w:val="00B72072"/>
    <w:rsid w:val="00B766D2"/>
    <w:rsid w:val="00B76ECA"/>
    <w:rsid w:val="00B7798C"/>
    <w:rsid w:val="00B77BF8"/>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C9C"/>
    <w:rsid w:val="00BE107C"/>
    <w:rsid w:val="00BE224A"/>
    <w:rsid w:val="00BE4451"/>
    <w:rsid w:val="00BE7787"/>
    <w:rsid w:val="00BF0FEF"/>
    <w:rsid w:val="00BF131E"/>
    <w:rsid w:val="00BF7C4F"/>
    <w:rsid w:val="00C0303C"/>
    <w:rsid w:val="00C04EF4"/>
    <w:rsid w:val="00C074C9"/>
    <w:rsid w:val="00C105ED"/>
    <w:rsid w:val="00C11F76"/>
    <w:rsid w:val="00C13832"/>
    <w:rsid w:val="00C15E26"/>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D62"/>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27AC"/>
    <w:rsid w:val="00D03F9A"/>
    <w:rsid w:val="00D06D51"/>
    <w:rsid w:val="00D1157F"/>
    <w:rsid w:val="00D11DF2"/>
    <w:rsid w:val="00D1308E"/>
    <w:rsid w:val="00D15963"/>
    <w:rsid w:val="00D22275"/>
    <w:rsid w:val="00D2442C"/>
    <w:rsid w:val="00D2451D"/>
    <w:rsid w:val="00D24991"/>
    <w:rsid w:val="00D31BCA"/>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D97"/>
    <w:rsid w:val="00D96FD0"/>
    <w:rsid w:val="00D97642"/>
    <w:rsid w:val="00DA43DE"/>
    <w:rsid w:val="00DA4BAF"/>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25B71"/>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04C3"/>
    <w:rsid w:val="00E6146E"/>
    <w:rsid w:val="00E6159E"/>
    <w:rsid w:val="00E61AC6"/>
    <w:rsid w:val="00E661DE"/>
    <w:rsid w:val="00E6780A"/>
    <w:rsid w:val="00E67AFD"/>
    <w:rsid w:val="00E70731"/>
    <w:rsid w:val="00E72940"/>
    <w:rsid w:val="00E72958"/>
    <w:rsid w:val="00E75650"/>
    <w:rsid w:val="00E80982"/>
    <w:rsid w:val="00E831C4"/>
    <w:rsid w:val="00E83649"/>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8B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2DE9"/>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5FF0DA6"/>
    <w:rsid w:val="16C50B34"/>
    <w:rsid w:val="1A98BBF0"/>
    <w:rsid w:val="1BB59530"/>
    <w:rsid w:val="1C3F91B5"/>
    <w:rsid w:val="1DEA2C81"/>
    <w:rsid w:val="1E4169DE"/>
    <w:rsid w:val="1EED5B8F"/>
    <w:rsid w:val="1F159DFC"/>
    <w:rsid w:val="21C1319D"/>
    <w:rsid w:val="2315A3C4"/>
    <w:rsid w:val="23B587F1"/>
    <w:rsid w:val="26755CC8"/>
    <w:rsid w:val="2827C801"/>
    <w:rsid w:val="2997EC33"/>
    <w:rsid w:val="2A76CDB4"/>
    <w:rsid w:val="2AF87EDD"/>
    <w:rsid w:val="2BAD54DB"/>
    <w:rsid w:val="2BFF7DFB"/>
    <w:rsid w:val="2FDF06B0"/>
    <w:rsid w:val="31449402"/>
    <w:rsid w:val="3175D437"/>
    <w:rsid w:val="33159514"/>
    <w:rsid w:val="37B36F87"/>
    <w:rsid w:val="37CBED5E"/>
    <w:rsid w:val="37F0F3BD"/>
    <w:rsid w:val="38AD6091"/>
    <w:rsid w:val="38D90A84"/>
    <w:rsid w:val="39881381"/>
    <w:rsid w:val="3A4C1E2D"/>
    <w:rsid w:val="3AF51B77"/>
    <w:rsid w:val="3AFF0B51"/>
    <w:rsid w:val="3B28947F"/>
    <w:rsid w:val="3C126E47"/>
    <w:rsid w:val="3DBB118C"/>
    <w:rsid w:val="3DBB3C2B"/>
    <w:rsid w:val="3E6DB172"/>
    <w:rsid w:val="3EBDCBEC"/>
    <w:rsid w:val="3F7D4E04"/>
    <w:rsid w:val="3FEF4911"/>
    <w:rsid w:val="3FF38F36"/>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D76EF99"/>
    <w:rsid w:val="4E645DE8"/>
    <w:rsid w:val="4E9B7C40"/>
    <w:rsid w:val="4F5E6FD2"/>
    <w:rsid w:val="508BE32A"/>
    <w:rsid w:val="50FA4033"/>
    <w:rsid w:val="51F22169"/>
    <w:rsid w:val="53D52109"/>
    <w:rsid w:val="53D83EA3"/>
    <w:rsid w:val="558079EC"/>
    <w:rsid w:val="55944916"/>
    <w:rsid w:val="560F8117"/>
    <w:rsid w:val="56EE5F89"/>
    <w:rsid w:val="57F1CB73"/>
    <w:rsid w:val="57F78D20"/>
    <w:rsid w:val="5867F32C"/>
    <w:rsid w:val="59055218"/>
    <w:rsid w:val="59935371"/>
    <w:rsid w:val="5A7A7DEB"/>
    <w:rsid w:val="5B4BF964"/>
    <w:rsid w:val="5C2BB803"/>
    <w:rsid w:val="5C44E060"/>
    <w:rsid w:val="5C7FFE48"/>
    <w:rsid w:val="5D0B4EBF"/>
    <w:rsid w:val="5DE0B0C1"/>
    <w:rsid w:val="5EFB614A"/>
    <w:rsid w:val="5F6358C5"/>
    <w:rsid w:val="5F7C8122"/>
    <w:rsid w:val="5FCE2A3E"/>
    <w:rsid w:val="5FF03B00"/>
    <w:rsid w:val="5FF7AB1A"/>
    <w:rsid w:val="5FF9F986"/>
    <w:rsid w:val="60E9BF6F"/>
    <w:rsid w:val="60EA48F0"/>
    <w:rsid w:val="61185183"/>
    <w:rsid w:val="63319A48"/>
    <w:rsid w:val="671967D4"/>
    <w:rsid w:val="675900F3"/>
    <w:rsid w:val="677D68B5"/>
    <w:rsid w:val="67EF9FC0"/>
    <w:rsid w:val="6853157F"/>
    <w:rsid w:val="68F4D154"/>
    <w:rsid w:val="69236368"/>
    <w:rsid w:val="69A94153"/>
    <w:rsid w:val="69E4D5A1"/>
    <w:rsid w:val="69F6C8F9"/>
    <w:rsid w:val="6A69C7FD"/>
    <w:rsid w:val="6A90A1B5"/>
    <w:rsid w:val="6B80A602"/>
    <w:rsid w:val="6C0F593D"/>
    <w:rsid w:val="6E14E03F"/>
    <w:rsid w:val="6EC9819B"/>
    <w:rsid w:val="6F377222"/>
    <w:rsid w:val="6F46F9FF"/>
    <w:rsid w:val="6F481E57"/>
    <w:rsid w:val="6F4909A7"/>
    <w:rsid w:val="6F6412D8"/>
    <w:rsid w:val="6F7B87B4"/>
    <w:rsid w:val="6FC770EF"/>
    <w:rsid w:val="6FE6172F"/>
    <w:rsid w:val="706D3F82"/>
    <w:rsid w:val="719F9C21"/>
    <w:rsid w:val="738BB7E7"/>
    <w:rsid w:val="73C7B6B8"/>
    <w:rsid w:val="745707D0"/>
    <w:rsid w:val="75DECF75"/>
    <w:rsid w:val="75FFB190"/>
    <w:rsid w:val="76D35DF7"/>
    <w:rsid w:val="773BAA1F"/>
    <w:rsid w:val="77570633"/>
    <w:rsid w:val="776FDCF4"/>
    <w:rsid w:val="7786E3B2"/>
    <w:rsid w:val="77EF630D"/>
    <w:rsid w:val="77F90747"/>
    <w:rsid w:val="77FF2392"/>
    <w:rsid w:val="78E43CF0"/>
    <w:rsid w:val="78F1035E"/>
    <w:rsid w:val="795A35F8"/>
    <w:rsid w:val="7A4C7E41"/>
    <w:rsid w:val="7B6F3B26"/>
    <w:rsid w:val="7B7BF1DE"/>
    <w:rsid w:val="7B9A728D"/>
    <w:rsid w:val="7BAFF229"/>
    <w:rsid w:val="7BBE3B80"/>
    <w:rsid w:val="7BD863EC"/>
    <w:rsid w:val="7BFE70C4"/>
    <w:rsid w:val="7DAAA30C"/>
    <w:rsid w:val="7DFC10D6"/>
    <w:rsid w:val="7E18AACA"/>
    <w:rsid w:val="7E1E2780"/>
    <w:rsid w:val="7E42E8E3"/>
    <w:rsid w:val="7E64F6CC"/>
    <w:rsid w:val="7E7723A5"/>
    <w:rsid w:val="7E7967B8"/>
    <w:rsid w:val="7F3E573F"/>
    <w:rsid w:val="7F650B4F"/>
    <w:rsid w:val="7F8F6932"/>
    <w:rsid w:val="7FBE3567"/>
    <w:rsid w:val="7FCF8F94"/>
    <w:rsid w:val="7FD72C8F"/>
    <w:rsid w:val="7FD7CA01"/>
    <w:rsid w:val="7FDE39DD"/>
    <w:rsid w:val="7FEDD896"/>
    <w:rsid w:val="7FEF5E8C"/>
    <w:rsid w:val="7FFF0298"/>
    <w:rsid w:val="7FFF520B"/>
    <w:rsid w:val="7FFFCAFA"/>
    <w:rsid w:val="8EECBA91"/>
    <w:rsid w:val="95FB6669"/>
    <w:rsid w:val="97F78C01"/>
    <w:rsid w:val="9DED7A88"/>
    <w:rsid w:val="9F7E7126"/>
    <w:rsid w:val="9FFCAD93"/>
    <w:rsid w:val="A94B84A9"/>
    <w:rsid w:val="AFDF8AF4"/>
    <w:rsid w:val="B47F32CA"/>
    <w:rsid w:val="B7E944EF"/>
    <w:rsid w:val="BBFF8F72"/>
    <w:rsid w:val="BBFF93F5"/>
    <w:rsid w:val="BCBEB428"/>
    <w:rsid w:val="BDE1FEE1"/>
    <w:rsid w:val="BDFAACFF"/>
    <w:rsid w:val="BE73F186"/>
    <w:rsid w:val="BEEF0CAF"/>
    <w:rsid w:val="BF0BDAE0"/>
    <w:rsid w:val="BF7B402A"/>
    <w:rsid w:val="C257F4F4"/>
    <w:rsid w:val="CBDE87F7"/>
    <w:rsid w:val="CDE68DB9"/>
    <w:rsid w:val="CF7DD62F"/>
    <w:rsid w:val="D397B469"/>
    <w:rsid w:val="DC6F06DD"/>
    <w:rsid w:val="DD9B9720"/>
    <w:rsid w:val="DEBBE493"/>
    <w:rsid w:val="DEFCF5A0"/>
    <w:rsid w:val="DEFFE9BE"/>
    <w:rsid w:val="DFFDE9C2"/>
    <w:rsid w:val="E337E340"/>
    <w:rsid w:val="E7C28445"/>
    <w:rsid w:val="E7FB590B"/>
    <w:rsid w:val="ED6E6D24"/>
    <w:rsid w:val="ED6F26BF"/>
    <w:rsid w:val="EDCD0D91"/>
    <w:rsid w:val="EFB71595"/>
    <w:rsid w:val="EFDB39A2"/>
    <w:rsid w:val="EFFB7C94"/>
    <w:rsid w:val="EFFFA3C7"/>
    <w:rsid w:val="F2FAE6DD"/>
    <w:rsid w:val="F3BFD748"/>
    <w:rsid w:val="F659FF76"/>
    <w:rsid w:val="F7B7FBFC"/>
    <w:rsid w:val="F7E96763"/>
    <w:rsid w:val="F7EF11B8"/>
    <w:rsid w:val="F7F92A0C"/>
    <w:rsid w:val="F7FBBE13"/>
    <w:rsid w:val="F9AF020E"/>
    <w:rsid w:val="FA77E1C3"/>
    <w:rsid w:val="FB5F650F"/>
    <w:rsid w:val="FBBED607"/>
    <w:rsid w:val="FBEFEB05"/>
    <w:rsid w:val="FCB78D2E"/>
    <w:rsid w:val="FD7B76C6"/>
    <w:rsid w:val="FDAFA5DE"/>
    <w:rsid w:val="FDB7ED08"/>
    <w:rsid w:val="FDF93C83"/>
    <w:rsid w:val="FE786F25"/>
    <w:rsid w:val="FEBA2398"/>
    <w:rsid w:val="FEBF66C7"/>
    <w:rsid w:val="FF772323"/>
    <w:rsid w:val="FF9B12EE"/>
    <w:rsid w:val="FF9DBDB2"/>
    <w:rsid w:val="FF9F8239"/>
    <w:rsid w:val="FFB7A4E6"/>
    <w:rsid w:val="FFDF5AB2"/>
    <w:rsid w:val="FFEFD89C"/>
    <w:rsid w:val="FFFF462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2"/>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rPr>
      <w:rFonts w:ascii="Tahoma" w:hAnsi="Tahoma" w:cs="Tahoma"/>
      <w:sz w:val="16"/>
      <w:szCs w:val="16"/>
    </w:rPr>
  </w:style>
  <w:style w:type="paragraph" w:styleId="15">
    <w:name w:val="Body Text"/>
    <w:basedOn w:val="1"/>
    <w:link w:val="106"/>
    <w:unhideWhenUsed/>
    <w:uiPriority w:val="0"/>
    <w:pPr>
      <w:spacing w:after="120"/>
    </w:pPr>
  </w:style>
  <w:style w:type="paragraph" w:styleId="16">
    <w:name w:val="Body Text 2"/>
    <w:basedOn w:val="1"/>
    <w:link w:val="153"/>
    <w:uiPriority w:val="0"/>
    <w:pPr>
      <w:spacing w:after="0"/>
      <w:jc w:val="both"/>
    </w:pPr>
    <w:rPr>
      <w:rFonts w:eastAsia="MS Mincho"/>
      <w:sz w:val="24"/>
    </w:rPr>
  </w:style>
  <w:style w:type="paragraph" w:styleId="17">
    <w:name w:val="Body Text 3"/>
    <w:basedOn w:val="1"/>
    <w:link w:val="159"/>
    <w:uiPriority w:val="0"/>
    <w:rPr>
      <w:rFonts w:eastAsia="MS Mincho"/>
      <w:b/>
      <w:i/>
    </w:rPr>
  </w:style>
  <w:style w:type="paragraph" w:styleId="18">
    <w:name w:val="Body Text Indent"/>
    <w:basedOn w:val="1"/>
    <w:link w:val="151"/>
    <w:uiPriority w:val="0"/>
    <w:pPr>
      <w:spacing w:before="240" w:after="0"/>
      <w:ind w:left="360"/>
      <w:jc w:val="both"/>
    </w:pPr>
    <w:rPr>
      <w:rFonts w:eastAsia="MS Mincho"/>
      <w:i/>
    </w:rPr>
  </w:style>
  <w:style w:type="paragraph" w:styleId="19">
    <w:name w:val="Body Text Indent 2"/>
    <w:basedOn w:val="1"/>
    <w:link w:val="157"/>
    <w:uiPriority w:val="0"/>
    <w:pPr>
      <w:ind w:left="568" w:hanging="568"/>
    </w:pPr>
    <w:rPr>
      <w:rFonts w:eastAsia="MS Mincho"/>
    </w:rPr>
  </w:style>
  <w:style w:type="paragraph" w:styleId="20">
    <w:name w:val="caption"/>
    <w:basedOn w:val="1"/>
    <w:next w:val="1"/>
    <w:link w:val="138"/>
    <w:qFormat/>
    <w:uiPriority w:val="99"/>
    <w:pPr>
      <w:spacing w:before="120" w:after="120"/>
    </w:pPr>
    <w:rPr>
      <w:rFonts w:eastAsia="MS Mincho"/>
      <w:b/>
    </w:rPr>
  </w:style>
  <w:style w:type="character" w:styleId="21">
    <w:name w:val="annotation reference"/>
    <w:qFormat/>
    <w:uiPriority w:val="99"/>
    <w:rPr>
      <w:sz w:val="16"/>
    </w:rPr>
  </w:style>
  <w:style w:type="paragraph" w:styleId="22">
    <w:name w:val="annotation text"/>
    <w:basedOn w:val="1"/>
    <w:link w:val="152"/>
    <w:qFormat/>
    <w:uiPriority w:val="99"/>
  </w:style>
  <w:style w:type="paragraph" w:styleId="23">
    <w:name w:val="annotation subject"/>
    <w:basedOn w:val="22"/>
    <w:next w:val="22"/>
    <w:link w:val="165"/>
    <w:uiPriority w:val="0"/>
    <w:rPr>
      <w:b/>
      <w:bCs/>
    </w:rPr>
  </w:style>
  <w:style w:type="paragraph" w:styleId="24">
    <w:name w:val="Date"/>
    <w:basedOn w:val="1"/>
    <w:next w:val="1"/>
    <w:link w:val="250"/>
    <w:uiPriority w:val="0"/>
    <w:pPr>
      <w:overflowPunct w:val="0"/>
      <w:autoSpaceDE w:val="0"/>
      <w:autoSpaceDN w:val="0"/>
      <w:adjustRightInd w:val="0"/>
      <w:textAlignment w:val="baseline"/>
    </w:pPr>
    <w:rPr>
      <w:rFonts w:eastAsia="Malgun Gothic"/>
    </w:rPr>
  </w:style>
  <w:style w:type="paragraph" w:styleId="25">
    <w:name w:val="Document Map"/>
    <w:basedOn w:val="1"/>
    <w:link w:val="130"/>
    <w:uiPriority w:val="0"/>
    <w:pPr>
      <w:shd w:val="clear" w:color="auto" w:fill="000080"/>
    </w:pPr>
    <w:rPr>
      <w:rFonts w:ascii="Tahoma" w:hAnsi="Tahoma" w:cs="Tahoma"/>
    </w:rPr>
  </w:style>
  <w:style w:type="character" w:styleId="26">
    <w:name w:val="endnote reference"/>
    <w:uiPriority w:val="0"/>
    <w:rPr>
      <w:vertAlign w:val="superscript"/>
    </w:rPr>
  </w:style>
  <w:style w:type="paragraph" w:styleId="27">
    <w:name w:val="endnote text"/>
    <w:basedOn w:val="1"/>
    <w:link w:val="245"/>
    <w:uiPriority w:val="0"/>
    <w:pPr>
      <w:snapToGrid w:val="0"/>
    </w:pPr>
    <w:rPr>
      <w:rFonts w:eastAsia="SimSun"/>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spacing w:after="0"/>
      <w:ind w:left="454" w:hanging="454"/>
    </w:pPr>
    <w:rPr>
      <w:sz w:val="16"/>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spacing w:after="0"/>
    </w:p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spacing w:before="360" w:after="240"/>
    </w:pPr>
    <w:rPr>
      <w:rFonts w:eastAsia="MS Mincho"/>
      <w:b/>
      <w:i/>
      <w:sz w:val="26"/>
    </w:rPr>
  </w:style>
  <w:style w:type="paragraph" w:styleId="38">
    <w:name w:val="List"/>
    <w:basedOn w:val="1"/>
    <w:link w:val="132"/>
    <w:uiPriority w:val="0"/>
    <w:pPr>
      <w:ind w:left="568" w:hanging="284"/>
    </w:p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1">
    <w:name w:val="List Number 4"/>
    <w:basedOn w:val="1"/>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2">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3">
    <w:name w:val="Normal (Web)"/>
    <w:basedOn w:val="1"/>
    <w:unhideWhenUsed/>
    <w:uiPriority w:val="99"/>
    <w:pPr>
      <w:spacing w:before="100" w:beforeAutospacing="1" w:after="100" w:afterAutospacing="1"/>
    </w:pPr>
    <w:rPr>
      <w:rFonts w:eastAsia="SimSun"/>
      <w:sz w:val="24"/>
      <w:szCs w:val="24"/>
      <w:lang w:val="en-US"/>
    </w:rPr>
  </w:style>
  <w:style w:type="paragraph" w:styleId="54">
    <w:name w:val="Normal Indent"/>
    <w:basedOn w:val="1"/>
    <w:uiPriority w:val="0"/>
    <w:pPr>
      <w:spacing w:after="0"/>
      <w:ind w:left="851"/>
    </w:pPr>
    <w:rPr>
      <w:rFonts w:eastAsia="MS Mincho"/>
      <w:lang w:val="it-IT" w:eastAsia="en-GB"/>
    </w:rPr>
  </w:style>
  <w:style w:type="character" w:styleId="55">
    <w:name w:val="page number"/>
    <w:basedOn w:val="12"/>
    <w:uiPriority w:val="0"/>
  </w:style>
  <w:style w:type="paragraph" w:styleId="56">
    <w:name w:val="Plain Text"/>
    <w:basedOn w:val="1"/>
    <w:link w:val="142"/>
    <w:uiPriority w:val="99"/>
    <w:pPr>
      <w:spacing w:after="0"/>
    </w:pPr>
    <w:rPr>
      <w:rFonts w:ascii="Courier New" w:hAnsi="Courier New" w:eastAsia="MS Mincho"/>
    </w:rPr>
  </w:style>
  <w:style w:type="character" w:styleId="57">
    <w:name w:val="Strong"/>
    <w:qFormat/>
    <w:uiPriority w:val="0"/>
    <w:rPr>
      <w:b/>
      <w:bCs/>
    </w:rPr>
  </w:style>
  <w:style w:type="paragraph" w:styleId="58">
    <w:name w:val="Subtitle"/>
    <w:basedOn w:val="1"/>
    <w:next w:val="1"/>
    <w:link w:val="342"/>
    <w:qFormat/>
    <w:uiPriority w:val="11"/>
    <w:pPr>
      <w:spacing w:after="160"/>
    </w:pPr>
    <w:rPr>
      <w:rFonts w:ascii="Calibri Light" w:hAnsi="Calibri Light"/>
      <w:b/>
      <w:bCs/>
      <w:kern w:val="28"/>
      <w:sz w:val="32"/>
      <w:szCs w:val="32"/>
      <w:lang w:val="fr-FR" w:eastAsia="fr-FR"/>
    </w:rPr>
  </w:style>
  <w:style w:type="table" w:styleId="59">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spacing w:after="0"/>
    </w:pPr>
    <w:rPr>
      <w:rFonts w:ascii="Arial" w:hAnsi="Arial"/>
      <w:sz w:val="18"/>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spacing w:before="60"/>
      <w:jc w:val="center"/>
    </w:pPr>
    <w:rPr>
      <w:rFonts w:ascii="Arial" w:hAnsi="Arial"/>
      <w:b/>
    </w:rPr>
  </w:style>
  <w:style w:type="paragraph" w:customStyle="1" w:styleId="78">
    <w:name w:val="NO"/>
    <w:basedOn w:val="1"/>
    <w:link w:val="124"/>
    <w:qFormat/>
    <w:uiPriority w:val="0"/>
    <w:pPr>
      <w:keepLines/>
      <w:ind w:left="1135" w:hanging="851"/>
    </w:pPr>
  </w:style>
  <w:style w:type="paragraph" w:customStyle="1" w:styleId="79">
    <w:name w:val="EX"/>
    <w:basedOn w:val="1"/>
    <w:link w:val="125"/>
    <w:qFormat/>
    <w:uiPriority w:val="0"/>
    <w:pPr>
      <w:keepLines/>
      <w:ind w:left="1702" w:hanging="1418"/>
    </w:pPr>
  </w:style>
  <w:style w:type="paragraph" w:customStyle="1" w:styleId="80">
    <w:name w:val="FP"/>
    <w:basedOn w:val="1"/>
    <w:uiPriority w:val="0"/>
    <w:pPr>
      <w:spacing w:after="0"/>
    </w:p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p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rPr>
      <w:rFonts w:eastAsia="SimSun"/>
      <w:i/>
      <w:color w:val="0000FF"/>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spacing w:after="0"/>
    </w:pPr>
    <w:rPr>
      <w:rFonts w:eastAsia="MS Mincho"/>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spacing w:after="0"/>
    </w:pPr>
    <w:rPr>
      <w:rFonts w:eastAsia="MS Mincho"/>
      <w:i/>
    </w:rPr>
  </w:style>
  <w:style w:type="paragraph" w:customStyle="1" w:styleId="140">
    <w:name w:val="table"/>
    <w:basedOn w:val="1"/>
    <w:next w:val="1"/>
    <w:uiPriority w:val="0"/>
    <w:pPr>
      <w:spacing w:after="0"/>
      <w:jc w:val="center"/>
    </w:pPr>
    <w:rPr>
      <w:rFonts w:eastAsia="MS Mincho"/>
      <w:lang w:val="en-US"/>
    </w:rPr>
  </w:style>
  <w:style w:type="paragraph" w:customStyle="1" w:styleId="141">
    <w:name w:val="HE"/>
    <w:basedOn w:val="1"/>
    <w:uiPriority w:val="0"/>
    <w:pPr>
      <w:spacing w:after="0"/>
    </w:pPr>
    <w:rPr>
      <w:rFonts w:eastAsia="MS Mincho"/>
      <w: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spacing w:after="240"/>
      <w:jc w:val="both"/>
    </w:pPr>
    <w:rPr>
      <w:rFonts w:eastAsia="MS Mincho"/>
      <w:sz w:val="24"/>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spacing w:before="60" w:after="60"/>
      <w:ind w:left="360" w:hanging="360"/>
      <w:jc w:val="both"/>
    </w:pPr>
    <w:rPr>
      <w:rFonts w:eastAsia="MS Mincho"/>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spacing w:after="240"/>
      <w:jc w:val="both"/>
    </w:pPr>
    <w:rPr>
      <w:rFonts w:ascii="Helvetica" w:hAnsi="Helvetica" w:eastAsia="MS Mincho"/>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pPr>
    <w:rPr>
      <w:rFonts w:eastAsia="MS Mincho"/>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spacing w:before="120" w:after="0"/>
      <w:jc w:val="both"/>
    </w:pPr>
    <w:rPr>
      <w:rFonts w:eastAsia="MS Mincho"/>
      <w:lang w:val="en-US"/>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spacing w:before="120" w:after="0" w:line="280" w:lineRule="atLeast"/>
      <w:jc w:val="center"/>
    </w:pPr>
    <w:rPr>
      <w:rFonts w:ascii="Bookman" w:hAnsi="Bookman" w:eastAsia="MS Mincho"/>
      <w:lang w:val="en-US"/>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spacing w:after="80"/>
    </w:pPr>
    <w:rPr>
      <w:rFonts w:eastAsia="MS Mincho"/>
      <w:sz w:val="18"/>
      <w:lang w:val="en-US"/>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spacing w:after="0"/>
      <w:contextualSpacing/>
    </w:pPr>
    <w:rPr>
      <w:rFonts w:eastAsia="SimSun"/>
      <w:szCs w:val="24"/>
    </w:rPr>
  </w:style>
  <w:style w:type="character" w:customStyle="1" w:styleId="173">
    <w:name w:val="List Paragraph Char"/>
    <w:link w:val="172"/>
    <w:qFormat/>
    <w:uiPriority w:val="34"/>
    <w:rPr>
      <w:rFonts w:ascii="Times New Roman" w:hAnsi="Times New Roman" w:eastAsia="SimSun"/>
      <w:sz w:val="22"/>
      <w:szCs w:val="24"/>
      <w:lang w:val="en-GB" w:eastAsia="en-US"/>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overflowPunct w:val="0"/>
      <w:autoSpaceDE w:val="0"/>
      <w:autoSpaceDN w:val="0"/>
      <w:adjustRightInd w:val="0"/>
      <w:spacing w:before="120" w:after="120"/>
      <w:ind w:left="720"/>
      <w:textAlignment w:val="baseline"/>
    </w:pPr>
    <w:rPr>
      <w:rFonts w:eastAsia="SimSun"/>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spacing w:before="100" w:beforeAutospacing="1" w:after="100" w:afterAutospacing="1"/>
    </w:pPr>
    <w:rPr>
      <w:rFonts w:eastAsia="SimSun"/>
      <w:sz w:val="24"/>
      <w:szCs w:val="24"/>
      <w:lang w:val="en-US"/>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overflowPunct w:val="0"/>
      <w:autoSpaceDE w:val="0"/>
      <w:autoSpaceDN w:val="0"/>
      <w:adjustRightInd w:val="0"/>
      <w:ind w:left="851"/>
      <w:textAlignment w:val="baseline"/>
    </w:pPr>
    <w:rPr>
      <w:lang w:eastAsia="ja-JP"/>
    </w:rPr>
  </w:style>
  <w:style w:type="paragraph" w:customStyle="1" w:styleId="263">
    <w:name w:val="INDENT2"/>
    <w:basedOn w:val="1"/>
    <w:uiPriority w:val="0"/>
    <w:pPr>
      <w:overflowPunct w:val="0"/>
      <w:autoSpaceDE w:val="0"/>
      <w:autoSpaceDN w:val="0"/>
      <w:adjustRightInd w:val="0"/>
      <w:ind w:left="1135" w:hanging="284"/>
      <w:textAlignment w:val="baseline"/>
    </w:pPr>
    <w:rPr>
      <w:lang w:eastAsia="ja-JP"/>
    </w:rPr>
  </w:style>
  <w:style w:type="paragraph" w:customStyle="1" w:styleId="264">
    <w:name w:val="INDENT3"/>
    <w:basedOn w:val="1"/>
    <w:uiPriority w:val="0"/>
    <w:pPr>
      <w:overflowPunct w:val="0"/>
      <w:autoSpaceDE w:val="0"/>
      <w:autoSpaceDN w:val="0"/>
      <w:adjustRightInd w:val="0"/>
      <w:ind w:left="1701" w:hanging="567"/>
      <w:textAlignment w:val="baseline"/>
    </w:pPr>
    <w:rPr>
      <w:lang w:eastAsia="ja-JP"/>
    </w:rPr>
  </w:style>
  <w:style w:type="paragraph" w:customStyle="1" w:styleId="265">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6">
    <w:name w:val="Rec_CCITT_#"/>
    <w:basedOn w:val="1"/>
    <w:uiPriority w:val="0"/>
    <w:pPr>
      <w:keepNext/>
      <w:keepLines/>
      <w:overflowPunct w:val="0"/>
      <w:autoSpaceDE w:val="0"/>
      <w:autoSpaceDN w:val="0"/>
      <w:adjustRightInd w:val="0"/>
      <w:textAlignment w:val="baseline"/>
    </w:pPr>
    <w:rPr>
      <w:b/>
      <w:lang w:eastAsia="ja-JP"/>
    </w:rPr>
  </w:style>
  <w:style w:type="paragraph" w:customStyle="1" w:styleId="267">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8">
    <w:name w:val="Couv Rec Title"/>
    <w:basedOn w:val="1"/>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9">
    <w:name w:val="Figure"/>
    <w:basedOn w:val="1"/>
    <w:uiPriority w:val="0"/>
    <w:pPr>
      <w:tabs>
        <w:tab w:val="left" w:pos="1440"/>
      </w:tabs>
      <w:spacing w:before="180" w:after="240" w:line="280" w:lineRule="atLeast"/>
      <w:ind w:left="720" w:hanging="360"/>
      <w:jc w:val="center"/>
    </w:pPr>
    <w:rPr>
      <w:rFonts w:ascii="Arial" w:hAnsi="Arial"/>
      <w:b/>
      <w:lang w:val="en-US" w:eastAsia="ja-JP"/>
    </w:rPr>
  </w:style>
  <w:style w:type="table" w:customStyle="1" w:styleId="270">
    <w:name w:val="Table Grid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uiPriority w:val="0"/>
    <w:pPr>
      <w:snapToGrid w:val="0"/>
      <w:spacing w:after="0"/>
      <w:textAlignment w:val="baseline"/>
    </w:pPr>
    <w:rPr>
      <w:rFonts w:ascii="Arial" w:hAnsi="Arial" w:eastAsia="SimSun" w:cs="Arial"/>
      <w:sz w:val="18"/>
      <w:szCs w:val="18"/>
      <w:lang w:val="en-US" w:eastAsia="zh-CN"/>
    </w:rPr>
  </w:style>
  <w:style w:type="paragraph" w:customStyle="1" w:styleId="273">
    <w:name w:val="ATC"/>
    <w:basedOn w:val="1"/>
    <w:uiPriority w:val="0"/>
    <w:pPr>
      <w:overflowPunct w:val="0"/>
      <w:autoSpaceDE w:val="0"/>
      <w:autoSpaceDN w:val="0"/>
      <w:adjustRightInd w:val="0"/>
      <w:textAlignment w:val="baseline"/>
    </w:pPr>
    <w:rPr>
      <w:lang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ind w:left="928" w:hanging="360"/>
    </w:pPr>
    <w:rPr>
      <w:rFonts w:eastAsia="Batang"/>
      <w:lang w:eastAsia="ko-KR"/>
    </w:rPr>
  </w:style>
  <w:style w:type="table" w:customStyle="1" w:styleId="289">
    <w:name w:val="Table Grid2"/>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rPr>
      <w:rFonts w:ascii="Tahoma" w:hAnsi="Tahoma" w:eastAsia="MS Mincho" w:cs="Tahoma"/>
      <w:sz w:val="16"/>
      <w:szCs w:val="16"/>
      <w:lang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lang w:val="en-US"/>
    </w:rPr>
  </w:style>
  <w:style w:type="paragraph" w:customStyle="1" w:styleId="295">
    <w:name w:val="b1"/>
    <w:basedOn w:val="1"/>
    <w:uiPriority w:val="0"/>
    <w:pPr>
      <w:spacing w:before="100" w:beforeAutospacing="1" w:after="100" w:afterAutospacing="1"/>
    </w:pPr>
    <w:rPr>
      <w:sz w:val="24"/>
      <w:szCs w:val="24"/>
      <w:lang w:val="en-US" w:eastAsia="ko-KR"/>
    </w:rPr>
  </w:style>
  <w:style w:type="paragraph" w:customStyle="1" w:styleId="296">
    <w:name w:val="吹き出し1"/>
    <w:basedOn w:val="1"/>
    <w:semiHidden/>
    <w:uiPriority w:val="0"/>
    <w:rPr>
      <w:rFonts w:ascii="Tahoma" w:hAnsi="Tahoma" w:eastAsia="MS Mincho" w:cs="Tahoma"/>
      <w:sz w:val="16"/>
      <w:szCs w:val="16"/>
      <w:lang w:eastAsia="ko-KR"/>
    </w:rPr>
  </w:style>
  <w:style w:type="paragraph" w:customStyle="1" w:styleId="297">
    <w:name w:val="吹き出し2"/>
    <w:basedOn w:val="1"/>
    <w:semiHidden/>
    <w:uiPriority w:val="0"/>
    <w:rPr>
      <w:rFonts w:ascii="Tahoma" w:hAnsi="Tahoma" w:eastAsia="MS Mincho" w:cs="Tahoma"/>
      <w:sz w:val="16"/>
      <w:szCs w:val="16"/>
      <w:lang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uiPriority w:val="0"/>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313">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spacing w:after="220"/>
      <w:ind w:left="1298"/>
    </w:pPr>
    <w:rPr>
      <w:rFonts w:ascii="Arial" w:hAnsi="Arial" w:eastAsia="SimSun"/>
      <w:lang w:val="en-US"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spacing w:beforeLines="20" w:afterLines="10"/>
      <w:ind w:right="284"/>
      <w:jc w:val="both"/>
      <w:outlineLvl w:val="0"/>
    </w:pPr>
    <w:rPr>
      <w:rFonts w:ascii="Arial" w:hAnsi="Arial" w:eastAsia="SimSun" w:cs="SimSun"/>
      <w:b/>
      <w:bCs/>
      <w:sz w:val="28"/>
      <w:lang w:val="en-US" w:eastAsia="zh-CN"/>
    </w:rPr>
  </w:style>
  <w:style w:type="table" w:customStyle="1" w:styleId="323">
    <w:name w:val="网格型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lang w:val="en-US"/>
    </w:rPr>
  </w:style>
  <w:style w:type="character" w:customStyle="1" w:styleId="336">
    <w:name w:val="3GPP Normal Text Char"/>
    <w:link w:val="335"/>
    <w:uiPriority w:val="0"/>
    <w:rPr>
      <w:rFonts w:ascii="Arial" w:hAnsi="Arial" w:eastAsia="MS Mincho" w:cs="Arial"/>
      <w:sz w:val="24"/>
      <w:szCs w:val="24"/>
      <w:lang w:val="en-US" w:eastAsia="en-US"/>
    </w:rPr>
  </w:style>
  <w:style w:type="table" w:customStyle="1" w:styleId="337">
    <w:name w:val="表格格線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Cs w:val="22"/>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76">
    <w:name w:val="3GPP Agreements Char"/>
    <w:link w:val="375"/>
    <w:qFormat/>
    <w:uiPriority w:val="0"/>
    <w:rPr>
      <w:rFonts w:ascii="Times New Roman" w:hAnsi="Times New Roman" w:eastAsia="SimSun"/>
      <w:sz w:val="22"/>
      <w:lang w:val="en-US"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szCs w:val="22"/>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spacing w:after="220" w:line="256" w:lineRule="auto"/>
    </w:pPr>
    <w:rPr>
      <w:rFonts w:ascii="Arial" w:hAnsi="Arial" w:eastAsiaTheme="minorEastAsia" w:cstheme="minorBidi"/>
      <w:szCs w:val="22"/>
      <w:lang w:val="en-US"/>
    </w:rPr>
  </w:style>
  <w:style w:type="paragraph" w:customStyle="1" w:styleId="382">
    <w:name w:val="Revision"/>
    <w:hidden/>
    <w:unhideWhenUsed/>
    <w:uiPriority w:val="99"/>
    <w:rPr>
      <w:rFonts w:ascii="Times New Roman" w:hAnsi="Times New Roman" w:eastAsia="Times New Roman"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C:\Users\edehesr\Library\Group Containers\UBF8T346G9.Office\User Content.localized\Templates.localized\3gpp_template_observation_proposal.dotx</Template>
  <Company>3GPP Support Team</Company>
  <Pages>4</Pages>
  <Words>1644</Words>
  <Characters>9373</Characters>
  <Lines>78</Lines>
  <Paragraphs>21</Paragraphs>
  <TotalTime>1</TotalTime>
  <ScaleCrop>false</ScaleCrop>
  <LinksUpToDate>false</LinksUpToDate>
  <CharactersWithSpaces>10996</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2021-12-30T14:56:00Z</dcterms:created>
  <dc:creator>Deep [EAB]</dc:creator>
  <cp:lastModifiedBy>Deep [E///]</cp:lastModifiedBy>
  <cp:lastPrinted>1900-01-01T23:00:00Z</cp:lastPrinted>
  <dcterms:modified xsi:type="dcterms:W3CDTF">2024-10-07T17:59:59Z</dcterms:modified>
  <dc:title>MTG_TITLE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1033-6.10.1.8197</vt:lpwstr>
  </property>
  <property fmtid="{D5CDD505-2E9C-101B-9397-08002B2CF9AE}" pid="23" name="ICV">
    <vt:lpwstr>D0E0FDFBDF6531DF1CB0F2661DB07363_43</vt:lpwstr>
  </property>
  <property fmtid="{D5CDD505-2E9C-101B-9397-08002B2CF9AE}" pid="24" name="MediaServiceImageTags">
    <vt:lpwstr/>
  </property>
</Properties>
</file>